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344"/>
        <w:gridCol w:w="9254"/>
      </w:tblGrid>
      <w:tr w:rsidR="00115553" w:rsidRPr="000E206D" w:rsidTr="00F76F8F">
        <w:trPr>
          <w:trHeight w:val="1245"/>
        </w:trPr>
        <w:tc>
          <w:tcPr>
            <w:tcW w:w="1344" w:type="dxa"/>
            <w:shd w:val="clear" w:color="auto" w:fill="EDEDED" w:themeFill="accent3" w:themeFillTint="33"/>
            <w:vAlign w:val="center"/>
          </w:tcPr>
          <w:p w:rsidR="00115553" w:rsidRPr="000E206D" w:rsidRDefault="00115553" w:rsidP="002A1AE4">
            <w:pPr>
              <w:keepNext/>
              <w:spacing w:before="60" w:after="60" w:line="240" w:lineRule="auto"/>
              <w:outlineLvl w:val="0"/>
              <w:rPr>
                <w:rFonts w:ascii="Times New Roman" w:eastAsia="Times New Roman" w:hAnsi="Times New Roman" w:cs="Times New Roman"/>
                <w:sz w:val="32"/>
                <w:szCs w:val="20"/>
                <w:lang w:val="en-US"/>
              </w:rPr>
            </w:pPr>
            <w:bookmarkStart w:id="0" w:name="_GoBack"/>
            <w:bookmarkEnd w:id="0"/>
            <w:r w:rsidRPr="000E206D">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9254" w:type="dxa"/>
            <w:shd w:val="clear" w:color="auto" w:fill="EDEDED" w:themeFill="accent3" w:themeFillTint="33"/>
            <w:vAlign w:val="center"/>
          </w:tcPr>
          <w:p w:rsidR="00115553" w:rsidRPr="000E206D"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0E206D">
              <w:rPr>
                <w:rFonts w:ascii="Times New Roman" w:eastAsia="Times New Roman" w:hAnsi="Times New Roman" w:cs="Times New Roman"/>
                <w:b/>
                <w:color w:val="000000"/>
                <w:sz w:val="32"/>
                <w:szCs w:val="20"/>
                <w:lang w:val="en-US"/>
              </w:rPr>
              <w:t>ÇANKAYA ÜNİVERSİTESİ</w:t>
            </w:r>
          </w:p>
          <w:p w:rsidR="00030048" w:rsidRPr="00D56EC2" w:rsidRDefault="00030048" w:rsidP="00030048">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0E206D" w:rsidRDefault="00EB1DF6" w:rsidP="00915DF0">
            <w:pPr>
              <w:keepNext/>
              <w:spacing w:before="60" w:after="60" w:line="240" w:lineRule="auto"/>
              <w:jc w:val="center"/>
              <w:outlineLvl w:val="0"/>
              <w:rPr>
                <w:rFonts w:ascii="Times New Roman" w:eastAsia="Times New Roman" w:hAnsi="Times New Roman" w:cs="Times New Roman"/>
                <w:color w:val="000000"/>
                <w:sz w:val="32"/>
                <w:szCs w:val="20"/>
              </w:rPr>
            </w:pPr>
            <w:r w:rsidRPr="000E206D">
              <w:rPr>
                <w:rFonts w:ascii="Times New Roman" w:eastAsia="Times New Roman" w:hAnsi="Times New Roman" w:cs="Times New Roman"/>
                <w:b/>
                <w:color w:val="000000"/>
                <w:sz w:val="24"/>
                <w:szCs w:val="20"/>
              </w:rPr>
              <w:t>FORM 5-</w:t>
            </w:r>
            <w:r w:rsidR="00915DF0" w:rsidRPr="000E206D">
              <w:rPr>
                <w:rFonts w:ascii="Times New Roman" w:eastAsia="Times New Roman" w:hAnsi="Times New Roman" w:cs="Times New Roman"/>
                <w:b/>
                <w:color w:val="000000"/>
                <w:sz w:val="24"/>
                <w:szCs w:val="20"/>
              </w:rPr>
              <w:t xml:space="preserve">Tez Savunma Tarihi ve Jüri Atama Talep Formu </w:t>
            </w:r>
          </w:p>
        </w:tc>
      </w:tr>
    </w:tbl>
    <w:p w:rsidR="00244F79" w:rsidRPr="000E206D" w:rsidRDefault="00244F79" w:rsidP="002A1AE4">
      <w:pPr>
        <w:spacing w:before="60" w:after="60"/>
        <w:rPr>
          <w:rFonts w:ascii="Times New Roman" w:hAnsi="Times New Roman" w:cs="Times New Roman"/>
        </w:rPr>
      </w:pPr>
    </w:p>
    <w:tbl>
      <w:tblPr>
        <w:tblStyle w:val="TabloKlavuzu"/>
        <w:tblW w:w="10561" w:type="dxa"/>
        <w:tblLook w:val="04A0" w:firstRow="1" w:lastRow="0" w:firstColumn="1" w:lastColumn="0" w:noHBand="0" w:noVBand="1"/>
      </w:tblPr>
      <w:tblGrid>
        <w:gridCol w:w="10561"/>
      </w:tblGrid>
      <w:tr w:rsidR="00115553" w:rsidRPr="000E206D" w:rsidTr="00F76F8F">
        <w:trPr>
          <w:trHeight w:val="349"/>
        </w:trPr>
        <w:tc>
          <w:tcPr>
            <w:tcW w:w="10561" w:type="dxa"/>
            <w:shd w:val="clear" w:color="auto" w:fill="EDEDED" w:themeFill="accent3" w:themeFillTint="33"/>
            <w:vAlign w:val="center"/>
          </w:tcPr>
          <w:p w:rsidR="00115553" w:rsidRPr="000E206D" w:rsidRDefault="00F76F8F" w:rsidP="00F76F8F">
            <w:pPr>
              <w:spacing w:before="60" w:after="60" w:line="360" w:lineRule="auto"/>
              <w:rPr>
                <w:rFonts w:ascii="Times New Roman" w:hAnsi="Times New Roman" w:cs="Times New Roman"/>
                <w:b/>
              </w:rPr>
            </w:pPr>
            <w:r>
              <w:rPr>
                <w:rFonts w:ascii="Times New Roman" w:hAnsi="Times New Roman" w:cs="Times New Roman"/>
                <w:b/>
              </w:rPr>
              <w:t>Öğrenci</w:t>
            </w:r>
          </w:p>
        </w:tc>
      </w:tr>
      <w:tr w:rsidR="00115553" w:rsidRPr="000E206D" w:rsidTr="00BF6191">
        <w:trPr>
          <w:trHeight w:val="524"/>
        </w:trPr>
        <w:tc>
          <w:tcPr>
            <w:tcW w:w="10561" w:type="dxa"/>
            <w:vAlign w:val="center"/>
          </w:tcPr>
          <w:p w:rsidR="00115553" w:rsidRPr="000E206D" w:rsidRDefault="00F76F8F" w:rsidP="00F76F8F">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Enstitü</w:t>
            </w:r>
            <w:r w:rsidRPr="000E206D">
              <w:rPr>
                <w:rFonts w:ascii="Times New Roman" w:hAnsi="Times New Roman" w:cs="Times New Roman"/>
              </w:rPr>
              <w:t xml:space="preserve"> </w:t>
            </w:r>
            <w:r w:rsidR="00115553" w:rsidRPr="000E206D">
              <w:rPr>
                <w:rFonts w:ascii="Times New Roman" w:hAnsi="Times New Roman" w:cs="Times New Roman"/>
              </w:rPr>
              <w:t>web sayfasın</w:t>
            </w:r>
            <w:r w:rsidR="00D6537C">
              <w:rPr>
                <w:rFonts w:ascii="Times New Roman" w:hAnsi="Times New Roman" w:cs="Times New Roman"/>
              </w:rPr>
              <w:t>da “Formlar” sekmesinde yer alan</w:t>
            </w:r>
            <w:r w:rsidR="00915DF0" w:rsidRPr="000E206D">
              <w:rPr>
                <w:rFonts w:ascii="Times New Roman" w:hAnsi="Times New Roman" w:cs="Times New Roman"/>
              </w:rPr>
              <w:t xml:space="preserve"> Form 5</w:t>
            </w:r>
            <w:r w:rsidR="00D6537C">
              <w:rPr>
                <w:rFonts w:ascii="Times New Roman" w:hAnsi="Times New Roman" w:cs="Times New Roman"/>
              </w:rPr>
              <w:t>’</w:t>
            </w:r>
            <w:r w:rsidR="00115553" w:rsidRPr="000E206D">
              <w:rPr>
                <w:rFonts w:ascii="Times New Roman" w:hAnsi="Times New Roman" w:cs="Times New Roman"/>
              </w:rPr>
              <w:t xml:space="preserve"> </w:t>
            </w:r>
            <w:r w:rsidR="00915DF0" w:rsidRPr="000E206D">
              <w:rPr>
                <w:rFonts w:ascii="Times New Roman" w:hAnsi="Times New Roman" w:cs="Times New Roman"/>
              </w:rPr>
              <w:t xml:space="preserve">in </w:t>
            </w:r>
            <w:r w:rsidR="000D1250" w:rsidRPr="000E206D">
              <w:rPr>
                <w:rFonts w:ascii="Times New Roman" w:hAnsi="Times New Roman" w:cs="Times New Roman"/>
              </w:rPr>
              <w:t>ilgili bölümünü</w:t>
            </w:r>
            <w:r w:rsidR="00D6537C">
              <w:rPr>
                <w:rFonts w:ascii="Times New Roman" w:hAnsi="Times New Roman" w:cs="Times New Roman"/>
              </w:rPr>
              <w:t xml:space="preserve"> (</w:t>
            </w:r>
            <w:r w:rsidR="00D6537C" w:rsidRPr="00D6537C">
              <w:rPr>
                <w:rFonts w:ascii="Times New Roman" w:hAnsi="Times New Roman" w:cs="Times New Roman"/>
                <w:i/>
              </w:rPr>
              <w:t>Bölüm I</w:t>
            </w:r>
            <w:r w:rsidR="00D6537C">
              <w:rPr>
                <w:rFonts w:ascii="Times New Roman" w:hAnsi="Times New Roman" w:cs="Times New Roman"/>
              </w:rPr>
              <w:t>)</w:t>
            </w:r>
            <w:r w:rsidR="00915DF0" w:rsidRPr="000E206D">
              <w:rPr>
                <w:rFonts w:ascii="Times New Roman" w:hAnsi="Times New Roman" w:cs="Times New Roman"/>
              </w:rPr>
              <w:t xml:space="preserve"> bilgisayar ortamında doldurur imzalar ve onay için </w:t>
            </w:r>
            <w:r w:rsidR="00F358B7" w:rsidRPr="000E206D">
              <w:rPr>
                <w:rFonts w:ascii="Times New Roman" w:hAnsi="Times New Roman" w:cs="Times New Roman"/>
              </w:rPr>
              <w:t>tez danışmanına teslim</w:t>
            </w:r>
            <w:r w:rsidR="00BD7DC5" w:rsidRPr="000E206D">
              <w:rPr>
                <w:rFonts w:ascii="Times New Roman" w:hAnsi="Times New Roman" w:cs="Times New Roman"/>
              </w:rPr>
              <w:t xml:space="preserve"> e</w:t>
            </w:r>
            <w:r w:rsidR="00F358B7" w:rsidRPr="000E206D">
              <w:rPr>
                <w:rFonts w:ascii="Times New Roman" w:hAnsi="Times New Roman" w:cs="Times New Roman"/>
              </w:rPr>
              <w:t>der.</w:t>
            </w:r>
          </w:p>
        </w:tc>
      </w:tr>
    </w:tbl>
    <w:p w:rsidR="00115553" w:rsidRPr="000E206D" w:rsidRDefault="00863F9D" w:rsidP="00F76F8F">
      <w:pPr>
        <w:spacing w:before="60" w:after="60" w:line="360" w:lineRule="auto"/>
        <w:rPr>
          <w:rFonts w:ascii="Times New Roman" w:hAnsi="Times New Roman" w:cs="Times New Roman"/>
        </w:rPr>
      </w:pPr>
      <w:r w:rsidRPr="000E206D">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38100</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0D0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40pt;margin-top:3pt;width:12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W w:w="10591" w:type="dxa"/>
        <w:tblLook w:val="04A0" w:firstRow="1" w:lastRow="0" w:firstColumn="1" w:lastColumn="0" w:noHBand="0" w:noVBand="1"/>
      </w:tblPr>
      <w:tblGrid>
        <w:gridCol w:w="10591"/>
      </w:tblGrid>
      <w:tr w:rsidR="00FC10C8" w:rsidRPr="000E206D" w:rsidTr="00F76F8F">
        <w:trPr>
          <w:trHeight w:val="412"/>
        </w:trPr>
        <w:tc>
          <w:tcPr>
            <w:tcW w:w="10591" w:type="dxa"/>
            <w:shd w:val="clear" w:color="auto" w:fill="EDEDED" w:themeFill="accent3" w:themeFillTint="33"/>
          </w:tcPr>
          <w:p w:rsidR="00FC10C8" w:rsidRPr="000E206D" w:rsidRDefault="00FC10C8" w:rsidP="00F76F8F">
            <w:pPr>
              <w:spacing w:before="60" w:after="60" w:line="360" w:lineRule="auto"/>
              <w:rPr>
                <w:rFonts w:ascii="Times New Roman" w:hAnsi="Times New Roman" w:cs="Times New Roman"/>
                <w:b/>
              </w:rPr>
            </w:pPr>
            <w:r w:rsidRPr="000E206D">
              <w:rPr>
                <w:rFonts w:ascii="Times New Roman" w:hAnsi="Times New Roman" w:cs="Times New Roman"/>
                <w:b/>
              </w:rPr>
              <w:t xml:space="preserve">Danışman </w:t>
            </w:r>
          </w:p>
        </w:tc>
      </w:tr>
      <w:tr w:rsidR="00FC10C8" w:rsidRPr="000E206D" w:rsidTr="00BF6191">
        <w:trPr>
          <w:trHeight w:val="400"/>
        </w:trPr>
        <w:tc>
          <w:tcPr>
            <w:tcW w:w="10591" w:type="dxa"/>
          </w:tcPr>
          <w:p w:rsidR="00FC10C8" w:rsidRPr="000E206D" w:rsidRDefault="00CE6A1F" w:rsidP="00F76F8F">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Jüri üyelerini belirler</w:t>
            </w:r>
            <w:r w:rsidR="00915DF0" w:rsidRPr="000E206D">
              <w:rPr>
                <w:rFonts w:ascii="Times New Roman" w:hAnsi="Times New Roman" w:cs="Times New Roman"/>
              </w:rPr>
              <w:t xml:space="preserve"> ve </w:t>
            </w:r>
            <w:r w:rsidR="00863F9D" w:rsidRPr="000E206D">
              <w:rPr>
                <w:rFonts w:ascii="Times New Roman" w:hAnsi="Times New Roman" w:cs="Times New Roman"/>
              </w:rPr>
              <w:t xml:space="preserve">formu imzalayarak </w:t>
            </w:r>
            <w:r w:rsidR="00FC10C8" w:rsidRPr="000E206D">
              <w:rPr>
                <w:rFonts w:ascii="Times New Roman" w:hAnsi="Times New Roman" w:cs="Times New Roman"/>
              </w:rPr>
              <w:t>onaylar</w:t>
            </w:r>
            <w:r w:rsidR="00366569">
              <w:rPr>
                <w:rFonts w:ascii="Times New Roman" w:hAnsi="Times New Roman" w:cs="Times New Roman"/>
              </w:rPr>
              <w:t xml:space="preserve"> </w:t>
            </w:r>
            <w:r w:rsidR="005748F9">
              <w:rPr>
                <w:rFonts w:ascii="Times New Roman" w:hAnsi="Times New Roman" w:cs="Times New Roman"/>
              </w:rPr>
              <w:t>(</w:t>
            </w:r>
            <w:r w:rsidR="005748F9" w:rsidRPr="005748F9">
              <w:rPr>
                <w:rFonts w:ascii="Times New Roman" w:hAnsi="Times New Roman" w:cs="Times New Roman"/>
                <w:i/>
              </w:rPr>
              <w:t>Bölüm II-III</w:t>
            </w:r>
            <w:r w:rsidR="005748F9">
              <w:rPr>
                <w:rFonts w:ascii="Times New Roman" w:hAnsi="Times New Roman" w:cs="Times New Roman"/>
              </w:rPr>
              <w:t>)</w:t>
            </w:r>
            <w:r w:rsidR="00915DF0" w:rsidRPr="000E206D">
              <w:rPr>
                <w:rFonts w:ascii="Times New Roman" w:hAnsi="Times New Roman" w:cs="Times New Roman"/>
              </w:rPr>
              <w:t>.</w:t>
            </w:r>
            <w:r w:rsidR="00FC10C8" w:rsidRPr="000E206D">
              <w:rPr>
                <w:rFonts w:ascii="Times New Roman" w:hAnsi="Times New Roman" w:cs="Times New Roman"/>
              </w:rPr>
              <w:t xml:space="preserve"> </w:t>
            </w:r>
            <w:r w:rsidR="00915DF0" w:rsidRPr="000E206D">
              <w:rPr>
                <w:rFonts w:ascii="Times New Roman" w:hAnsi="Times New Roman" w:cs="Times New Roman"/>
              </w:rPr>
              <w:t xml:space="preserve">Çankaya Üniversitesi dışında görev yapan jüri üyeleri </w:t>
            </w:r>
            <w:r w:rsidR="0013381D" w:rsidRPr="000E206D">
              <w:rPr>
                <w:rFonts w:ascii="Times New Roman" w:hAnsi="Times New Roman" w:cs="Times New Roman"/>
              </w:rPr>
              <w:t xml:space="preserve">için forma </w:t>
            </w:r>
            <w:r w:rsidR="00FF5481" w:rsidRPr="000E206D">
              <w:rPr>
                <w:rFonts w:ascii="Times New Roman" w:hAnsi="Times New Roman" w:cs="Times New Roman"/>
              </w:rPr>
              <w:t xml:space="preserve">özgeçmiş </w:t>
            </w:r>
            <w:r w:rsidR="0039386F">
              <w:rPr>
                <w:rFonts w:ascii="Times New Roman" w:hAnsi="Times New Roman" w:cs="Times New Roman"/>
              </w:rPr>
              <w:t xml:space="preserve">eklenir. Öğrenci </w:t>
            </w:r>
            <w:r w:rsidR="0013381D" w:rsidRPr="000E206D">
              <w:rPr>
                <w:rFonts w:ascii="Times New Roman" w:hAnsi="Times New Roman" w:cs="Times New Roman"/>
              </w:rPr>
              <w:t xml:space="preserve">veya danışman </w:t>
            </w:r>
            <w:r w:rsidR="00FC10C8" w:rsidRPr="000E206D">
              <w:rPr>
                <w:rFonts w:ascii="Times New Roman" w:hAnsi="Times New Roman" w:cs="Times New Roman"/>
              </w:rPr>
              <w:t>formu</w:t>
            </w:r>
            <w:r w:rsidR="0013381D" w:rsidRPr="000E206D">
              <w:rPr>
                <w:rFonts w:ascii="Times New Roman" w:hAnsi="Times New Roman" w:cs="Times New Roman"/>
              </w:rPr>
              <w:t xml:space="preserve"> ekleri ile bi</w:t>
            </w:r>
            <w:r w:rsidR="005748F9">
              <w:rPr>
                <w:rFonts w:ascii="Times New Roman" w:hAnsi="Times New Roman" w:cs="Times New Roman"/>
              </w:rPr>
              <w:t>rlikte Anabilim Dalı Başkanlığı</w:t>
            </w:r>
            <w:r w:rsidR="0013381D" w:rsidRPr="000E206D">
              <w:rPr>
                <w:rFonts w:ascii="Times New Roman" w:hAnsi="Times New Roman" w:cs="Times New Roman"/>
              </w:rPr>
              <w:t>na t</w:t>
            </w:r>
            <w:r w:rsidR="00AA3510" w:rsidRPr="000E206D">
              <w:rPr>
                <w:rFonts w:ascii="Times New Roman" w:hAnsi="Times New Roman" w:cs="Times New Roman"/>
              </w:rPr>
              <w:t>eslim eder</w:t>
            </w:r>
            <w:r w:rsidR="00FC10C8" w:rsidRPr="000E206D">
              <w:rPr>
                <w:rFonts w:ascii="Times New Roman" w:hAnsi="Times New Roman" w:cs="Times New Roman"/>
              </w:rPr>
              <w:t>.</w:t>
            </w:r>
          </w:p>
        </w:tc>
      </w:tr>
    </w:tbl>
    <w:p w:rsidR="00863F9D" w:rsidRPr="000E206D" w:rsidRDefault="00863F9D" w:rsidP="00F76F8F">
      <w:pPr>
        <w:spacing w:before="60" w:after="60" w:line="360" w:lineRule="auto"/>
        <w:rPr>
          <w:rFonts w:ascii="Times New Roman" w:hAnsi="Times New Roman" w:cs="Times New Roman"/>
        </w:rPr>
      </w:pPr>
      <w:r w:rsidRPr="000E206D">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B0C4FD0" wp14:editId="125E9E68">
                <wp:simplePos x="0" y="0"/>
                <wp:positionH relativeFrom="column">
                  <wp:posOffset>3048000</wp:posOffset>
                </wp:positionH>
                <wp:positionV relativeFrom="paragraph">
                  <wp:posOffset>38100</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4B6D" id="Aşağı Ok 3" o:spid="_x0000_s1026" type="#_x0000_t67" style="position:absolute;margin-left:240pt;margin-top:3pt;width:1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W w:w="10651" w:type="dxa"/>
        <w:tblLook w:val="04A0" w:firstRow="1" w:lastRow="0" w:firstColumn="1" w:lastColumn="0" w:noHBand="0" w:noVBand="1"/>
      </w:tblPr>
      <w:tblGrid>
        <w:gridCol w:w="10651"/>
      </w:tblGrid>
      <w:tr w:rsidR="00863F9D" w:rsidRPr="000E206D" w:rsidTr="00F76F8F">
        <w:trPr>
          <w:trHeight w:val="391"/>
        </w:trPr>
        <w:tc>
          <w:tcPr>
            <w:tcW w:w="10651" w:type="dxa"/>
            <w:shd w:val="clear" w:color="auto" w:fill="EDEDED" w:themeFill="accent3" w:themeFillTint="33"/>
          </w:tcPr>
          <w:p w:rsidR="00863F9D" w:rsidRPr="000E206D" w:rsidRDefault="00863F9D" w:rsidP="00F76F8F">
            <w:pPr>
              <w:spacing w:before="60" w:after="60" w:line="360" w:lineRule="auto"/>
              <w:rPr>
                <w:rFonts w:ascii="Times New Roman" w:hAnsi="Times New Roman" w:cs="Times New Roman"/>
                <w:b/>
              </w:rPr>
            </w:pPr>
            <w:r w:rsidRPr="000E206D">
              <w:rPr>
                <w:rFonts w:ascii="Times New Roman" w:hAnsi="Times New Roman" w:cs="Times New Roman"/>
                <w:b/>
              </w:rPr>
              <w:t>Anabilim Dalı Başkanlığı</w:t>
            </w:r>
          </w:p>
        </w:tc>
      </w:tr>
      <w:tr w:rsidR="00863F9D" w:rsidRPr="000E206D" w:rsidTr="00BF6191">
        <w:trPr>
          <w:trHeight w:val="586"/>
        </w:trPr>
        <w:tc>
          <w:tcPr>
            <w:tcW w:w="10651" w:type="dxa"/>
          </w:tcPr>
          <w:p w:rsidR="00863F9D" w:rsidRPr="000E206D" w:rsidRDefault="001F5416" w:rsidP="00F76F8F">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 xml:space="preserve">Anabilim Dalı Başkanı </w:t>
            </w:r>
            <w:r w:rsidR="008A4B24" w:rsidRPr="000E206D">
              <w:rPr>
                <w:rFonts w:ascii="Times New Roman" w:hAnsi="Times New Roman" w:cs="Times New Roman"/>
              </w:rPr>
              <w:t xml:space="preserve">formu </w:t>
            </w:r>
            <w:r w:rsidR="004D4949">
              <w:rPr>
                <w:rFonts w:ascii="Times New Roman" w:hAnsi="Times New Roman" w:cs="Times New Roman"/>
              </w:rPr>
              <w:t xml:space="preserve">imzalar ve form </w:t>
            </w:r>
            <w:r w:rsidR="008A4B24" w:rsidRPr="000E206D">
              <w:rPr>
                <w:rFonts w:ascii="Times New Roman" w:hAnsi="Times New Roman" w:cs="Times New Roman"/>
              </w:rPr>
              <w:t>ekleri ile birlikte</w:t>
            </w:r>
            <w:r w:rsidR="00863F9D" w:rsidRPr="000E206D">
              <w:rPr>
                <w:rFonts w:ascii="Times New Roman" w:hAnsi="Times New Roman" w:cs="Times New Roman"/>
              </w:rPr>
              <w:t xml:space="preserve"> Enstitü Yönetim Kurulu’nda görüşülme</w:t>
            </w:r>
            <w:r>
              <w:rPr>
                <w:rFonts w:ascii="Times New Roman" w:hAnsi="Times New Roman" w:cs="Times New Roman"/>
              </w:rPr>
              <w:t>k üzere EBYS üzerinden Enstitü</w:t>
            </w:r>
            <w:r w:rsidR="004D4949">
              <w:rPr>
                <w:rFonts w:ascii="Times New Roman" w:hAnsi="Times New Roman" w:cs="Times New Roman"/>
              </w:rPr>
              <w:t>ye gönderilir.</w:t>
            </w:r>
          </w:p>
        </w:tc>
      </w:tr>
    </w:tbl>
    <w:p w:rsidR="00FC10C8" w:rsidRPr="000E206D" w:rsidRDefault="00654FF1" w:rsidP="00F76F8F">
      <w:pPr>
        <w:spacing w:before="60" w:after="60" w:line="360" w:lineRule="auto"/>
        <w:rPr>
          <w:rFonts w:ascii="Times New Roman" w:hAnsi="Times New Roman" w:cs="Times New Roman"/>
        </w:rPr>
      </w:pPr>
      <w:r w:rsidRPr="000E206D">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5CE567A2" wp14:editId="67C592E2">
                <wp:simplePos x="0" y="0"/>
                <wp:positionH relativeFrom="column">
                  <wp:posOffset>3048000</wp:posOffset>
                </wp:positionH>
                <wp:positionV relativeFrom="paragraph">
                  <wp:posOffset>56515</wp:posOffset>
                </wp:positionV>
                <wp:extent cx="152400" cy="209550"/>
                <wp:effectExtent l="19050" t="0" r="19050" b="38100"/>
                <wp:wrapNone/>
                <wp:docPr id="4" name="Aşağı Ok 4"/>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4997F" id="Aşağı Ok 4" o:spid="_x0000_s1026" type="#_x0000_t67" style="position:absolute;margin-left:240pt;margin-top:4.45pt;width:12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681" w:type="dxa"/>
        <w:tblLook w:val="04A0" w:firstRow="1" w:lastRow="0" w:firstColumn="1" w:lastColumn="0" w:noHBand="0" w:noVBand="1"/>
      </w:tblPr>
      <w:tblGrid>
        <w:gridCol w:w="10681"/>
      </w:tblGrid>
      <w:tr w:rsidR="00AA3510" w:rsidRPr="000E206D" w:rsidTr="00F76F8F">
        <w:trPr>
          <w:trHeight w:val="432"/>
        </w:trPr>
        <w:tc>
          <w:tcPr>
            <w:tcW w:w="10681" w:type="dxa"/>
            <w:shd w:val="clear" w:color="auto" w:fill="EDEDED" w:themeFill="accent3" w:themeFillTint="33"/>
          </w:tcPr>
          <w:p w:rsidR="00AA3510" w:rsidRPr="000E206D" w:rsidRDefault="00F76F8F" w:rsidP="00F76F8F">
            <w:pPr>
              <w:spacing w:before="60" w:after="60" w:line="360" w:lineRule="auto"/>
              <w:rPr>
                <w:rFonts w:ascii="Times New Roman" w:hAnsi="Times New Roman" w:cs="Times New Roman"/>
                <w:b/>
              </w:rPr>
            </w:pPr>
            <w:r>
              <w:rPr>
                <w:rFonts w:ascii="Times New Roman" w:hAnsi="Times New Roman" w:cs="Times New Roman"/>
                <w:b/>
              </w:rPr>
              <w:t>Lisansüstü Eğitim</w:t>
            </w:r>
            <w:r w:rsidRPr="00C654F2">
              <w:rPr>
                <w:rFonts w:ascii="Times New Roman" w:hAnsi="Times New Roman" w:cs="Times New Roman"/>
                <w:b/>
              </w:rPr>
              <w:t xml:space="preserve"> Enstitüsü</w:t>
            </w:r>
          </w:p>
        </w:tc>
      </w:tr>
      <w:tr w:rsidR="00AA3510" w:rsidRPr="000E206D" w:rsidTr="00BF6191">
        <w:trPr>
          <w:trHeight w:val="649"/>
        </w:trPr>
        <w:tc>
          <w:tcPr>
            <w:tcW w:w="10681" w:type="dxa"/>
          </w:tcPr>
          <w:p w:rsidR="00AA3510" w:rsidRPr="000E206D" w:rsidRDefault="00AA3510" w:rsidP="00F76F8F">
            <w:pPr>
              <w:pStyle w:val="ListeParagraf"/>
              <w:numPr>
                <w:ilvl w:val="0"/>
                <w:numId w:val="1"/>
              </w:numPr>
              <w:spacing w:before="60" w:after="60" w:line="360" w:lineRule="auto"/>
              <w:jc w:val="both"/>
              <w:rPr>
                <w:rFonts w:ascii="Times New Roman" w:hAnsi="Times New Roman" w:cs="Times New Roman"/>
              </w:rPr>
            </w:pPr>
            <w:r w:rsidRPr="000E206D">
              <w:rPr>
                <w:rFonts w:ascii="Times New Roman" w:hAnsi="Times New Roman" w:cs="Times New Roman"/>
              </w:rPr>
              <w:t xml:space="preserve">Anabilim Dalı Başkanlığından gelen form, Enstitü Yönetim Kurulunda görüşülür, karara bağlanır </w:t>
            </w:r>
            <w:r w:rsidR="001E58EF">
              <w:rPr>
                <w:rFonts w:ascii="Times New Roman" w:hAnsi="Times New Roman" w:cs="Times New Roman"/>
              </w:rPr>
              <w:t xml:space="preserve">ve </w:t>
            </w:r>
            <w:r w:rsidRPr="000E206D">
              <w:rPr>
                <w:rFonts w:ascii="Times New Roman" w:hAnsi="Times New Roman" w:cs="Times New Roman"/>
              </w:rPr>
              <w:t xml:space="preserve">EBYS üzerinden </w:t>
            </w:r>
            <w:r w:rsidR="00B30DAC">
              <w:rPr>
                <w:rFonts w:ascii="Times New Roman" w:hAnsi="Times New Roman" w:cs="Times New Roman"/>
              </w:rPr>
              <w:t>Öğrenci İşleri Daire Başkanlığı</w:t>
            </w:r>
            <w:r w:rsidRPr="000E206D">
              <w:rPr>
                <w:rFonts w:ascii="Times New Roman" w:hAnsi="Times New Roman" w:cs="Times New Roman"/>
              </w:rPr>
              <w:t>na gönderilir.</w:t>
            </w:r>
          </w:p>
        </w:tc>
      </w:tr>
    </w:tbl>
    <w:p w:rsidR="00BF6191" w:rsidRPr="000E206D" w:rsidRDefault="00BF6191" w:rsidP="002A1AE4">
      <w:pPr>
        <w:spacing w:before="60" w:after="60"/>
        <w:rPr>
          <w:rFonts w:ascii="Times New Roman" w:hAnsi="Times New Roman" w:cs="Times New Roman"/>
        </w:rPr>
      </w:pPr>
    </w:p>
    <w:p w:rsidR="00AA3510" w:rsidRPr="000E206D" w:rsidRDefault="00BF6191" w:rsidP="002A1AE4">
      <w:pPr>
        <w:spacing w:before="60" w:after="60"/>
        <w:rPr>
          <w:rFonts w:ascii="Times New Roman" w:hAnsi="Times New Roman" w:cs="Times New Roman"/>
        </w:rPr>
      </w:pPr>
      <w:r w:rsidRPr="000E206D">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120650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EFF127"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25pt,9.5pt" to="5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" strokecolor="black [3200]" strokeweight="1.5pt">
                <v:stroke dashstyle="3 1" joinstyle="miter"/>
              </v:line>
            </w:pict>
          </mc:Fallback>
        </mc:AlternateContent>
      </w:r>
    </w:p>
    <w:p w:rsidR="00BF6191" w:rsidRPr="000E206D" w:rsidRDefault="00BF6191" w:rsidP="00BF6191">
      <w:pPr>
        <w:spacing w:before="60" w:after="60"/>
        <w:ind w:left="597" w:hanging="567"/>
        <w:rPr>
          <w:rFonts w:ascii="Times New Roman" w:hAnsi="Times New Roman" w:cs="Times New Roman"/>
          <w:b/>
        </w:rPr>
      </w:pPr>
    </w:p>
    <w:p w:rsidR="00BF6191" w:rsidRPr="000E206D" w:rsidRDefault="00BF6191" w:rsidP="00BF6191">
      <w:pPr>
        <w:spacing w:before="60" w:after="60"/>
        <w:ind w:left="597" w:hanging="567"/>
        <w:rPr>
          <w:rFonts w:ascii="Times New Roman" w:hAnsi="Times New Roman" w:cs="Times New Roman"/>
          <w:b/>
        </w:rPr>
      </w:pPr>
      <w:r w:rsidRPr="000E206D">
        <w:rPr>
          <w:rFonts w:ascii="Times New Roman" w:hAnsi="Times New Roman" w:cs="Times New Roman"/>
          <w:b/>
        </w:rPr>
        <w:t>Önemli Notlar:</w:t>
      </w:r>
    </w:p>
    <w:p w:rsidR="00BF6191" w:rsidRPr="004D7FA7" w:rsidRDefault="00587546" w:rsidP="00FF5481">
      <w:pPr>
        <w:pStyle w:val="ListeParagraf"/>
        <w:numPr>
          <w:ilvl w:val="0"/>
          <w:numId w:val="3"/>
        </w:numPr>
        <w:tabs>
          <w:tab w:val="left" w:pos="993"/>
        </w:tabs>
        <w:spacing w:before="60" w:after="60"/>
        <w:jc w:val="both"/>
        <w:rPr>
          <w:rFonts w:ascii="Times New Roman" w:hAnsi="Times New Roman" w:cs="Times New Roman"/>
        </w:rPr>
      </w:pPr>
      <w:r w:rsidRPr="004D7FA7">
        <w:rPr>
          <w:rFonts w:ascii="Times New Roman" w:hAnsi="Times New Roman" w:cs="Times New Roman"/>
        </w:rPr>
        <w:t xml:space="preserve">Tez Başlığı </w:t>
      </w:r>
      <w:r w:rsidR="00FF5481" w:rsidRPr="004D7FA7">
        <w:rPr>
          <w:rFonts w:ascii="Times New Roman" w:hAnsi="Times New Roman" w:cs="Times New Roman"/>
        </w:rPr>
        <w:t xml:space="preserve">Enstitü Yönetim Kurulu Kararında </w:t>
      </w:r>
      <w:r w:rsidRPr="004D7FA7">
        <w:rPr>
          <w:rFonts w:ascii="Times New Roman" w:hAnsi="Times New Roman" w:cs="Times New Roman"/>
        </w:rPr>
        <w:t>belirtilen</w:t>
      </w:r>
      <w:r w:rsidR="00FF5481" w:rsidRPr="004D7FA7">
        <w:rPr>
          <w:rFonts w:ascii="Times New Roman" w:hAnsi="Times New Roman" w:cs="Times New Roman"/>
        </w:rPr>
        <w:t xml:space="preserve"> tez başlığı </w:t>
      </w:r>
      <w:r w:rsidRPr="004D7FA7">
        <w:rPr>
          <w:rFonts w:ascii="Times New Roman" w:hAnsi="Times New Roman" w:cs="Times New Roman"/>
        </w:rPr>
        <w:t>olmalıdır.</w:t>
      </w:r>
    </w:p>
    <w:p w:rsidR="00587546" w:rsidRPr="000E206D" w:rsidRDefault="00587546" w:rsidP="00587546">
      <w:pPr>
        <w:pStyle w:val="GvdeMetni"/>
        <w:numPr>
          <w:ilvl w:val="0"/>
          <w:numId w:val="3"/>
        </w:numPr>
        <w:tabs>
          <w:tab w:val="left" w:pos="709"/>
        </w:tabs>
        <w:rPr>
          <w:rFonts w:ascii="Times New Roman" w:eastAsiaTheme="minorHAnsi" w:hAnsi="Times New Roman"/>
          <w:b w:val="0"/>
          <w:sz w:val="22"/>
          <w:szCs w:val="22"/>
          <w:lang w:val="tr-TR"/>
        </w:rPr>
      </w:pPr>
      <w:r w:rsidRPr="000E206D">
        <w:rPr>
          <w:rFonts w:ascii="Times New Roman" w:eastAsiaTheme="minorHAnsi" w:hAnsi="Times New Roman"/>
          <w:b w:val="0"/>
          <w:sz w:val="22"/>
          <w:szCs w:val="22"/>
          <w:lang w:val="tr-TR"/>
        </w:rPr>
        <w:t xml:space="preserve">Yüksek lisans tezlerinde tez jürisi, biri öğrencinin tez danışmanı olmak üzere üç veya beş kişiden oluşur. Jürinin üç kişiden oluşması durumunda jüri üyelerinden en az biri, beş kişiden oluşması durumunda ise ikisi başka bir üniversitenin öğretim üyesi olmalıdır. İkinci tez danışmanı jüride yer alacaksa jüri beş kişiden oluşmalıdır. </w:t>
      </w:r>
    </w:p>
    <w:p w:rsidR="00587546" w:rsidRPr="000E206D" w:rsidRDefault="00587546" w:rsidP="00587546">
      <w:pPr>
        <w:pStyle w:val="GvdeMetni"/>
        <w:numPr>
          <w:ilvl w:val="0"/>
          <w:numId w:val="3"/>
        </w:numPr>
        <w:tabs>
          <w:tab w:val="left" w:pos="993"/>
        </w:tabs>
        <w:rPr>
          <w:rFonts w:ascii="Times New Roman" w:eastAsiaTheme="minorHAnsi" w:hAnsi="Times New Roman"/>
          <w:b w:val="0"/>
          <w:sz w:val="22"/>
          <w:szCs w:val="22"/>
          <w:lang w:val="tr-TR"/>
        </w:rPr>
      </w:pPr>
      <w:r w:rsidRPr="000E206D">
        <w:rPr>
          <w:rFonts w:ascii="Times New Roman" w:eastAsiaTheme="minorHAnsi" w:hAnsi="Times New Roman"/>
          <w:b w:val="0"/>
          <w:sz w:val="22"/>
          <w:szCs w:val="22"/>
          <w:lang w:val="tr-TR"/>
        </w:rPr>
        <w:t>Doktora tezlerinde te</w:t>
      </w:r>
      <w:r w:rsidR="004D7FA7">
        <w:rPr>
          <w:rFonts w:ascii="Times New Roman" w:eastAsiaTheme="minorHAnsi" w:hAnsi="Times New Roman"/>
          <w:b w:val="0"/>
          <w:sz w:val="22"/>
          <w:szCs w:val="22"/>
          <w:lang w:val="tr-TR"/>
        </w:rPr>
        <w:t>z jürisi, tez danışmanı ve tez i</w:t>
      </w:r>
      <w:r w:rsidRPr="000E206D">
        <w:rPr>
          <w:rFonts w:ascii="Times New Roman" w:eastAsiaTheme="minorHAnsi" w:hAnsi="Times New Roman"/>
          <w:b w:val="0"/>
          <w:sz w:val="22"/>
          <w:szCs w:val="22"/>
          <w:lang w:val="tr-TR"/>
        </w:rPr>
        <w:t>zleme komitesi üyeleri dâhil, en az iki üye dışardan olmak üzere beş öğretim üyesinden oluşur. İkinci tez danışmanı oy hakkı olmaksızın jüride yer alabilir.</w:t>
      </w:r>
    </w:p>
    <w:p w:rsidR="00587546" w:rsidRPr="000E206D" w:rsidRDefault="00587546" w:rsidP="00587546">
      <w:pPr>
        <w:pStyle w:val="GvdeMetni"/>
        <w:numPr>
          <w:ilvl w:val="0"/>
          <w:numId w:val="3"/>
        </w:numPr>
        <w:tabs>
          <w:tab w:val="left" w:pos="993"/>
        </w:tabs>
        <w:rPr>
          <w:rFonts w:ascii="Times New Roman" w:eastAsiaTheme="minorHAnsi" w:hAnsi="Times New Roman"/>
          <w:b w:val="0"/>
          <w:sz w:val="22"/>
          <w:szCs w:val="22"/>
          <w:lang w:val="tr-TR"/>
        </w:rPr>
      </w:pPr>
      <w:r w:rsidRPr="000E206D">
        <w:rPr>
          <w:rFonts w:ascii="Times New Roman" w:eastAsiaTheme="minorHAnsi" w:hAnsi="Times New Roman"/>
          <w:b w:val="0"/>
          <w:sz w:val="22"/>
          <w:szCs w:val="22"/>
          <w:lang w:val="tr-TR"/>
        </w:rPr>
        <w:t xml:space="preserve">Hem Yüksek Lisans hem Doktorada birisi dışarıdan olmak şartıyla iki öğretim üyesi yedek üye olarak belirlenir. </w:t>
      </w:r>
    </w:p>
    <w:p w:rsidR="00587546" w:rsidRPr="000E206D" w:rsidRDefault="00587546" w:rsidP="00587546">
      <w:pPr>
        <w:pStyle w:val="GvdeMetni"/>
        <w:numPr>
          <w:ilvl w:val="0"/>
          <w:numId w:val="3"/>
        </w:numPr>
        <w:tabs>
          <w:tab w:val="left" w:pos="993"/>
        </w:tabs>
        <w:rPr>
          <w:rFonts w:ascii="Times New Roman" w:eastAsiaTheme="minorHAnsi" w:hAnsi="Times New Roman"/>
          <w:b w:val="0"/>
          <w:sz w:val="22"/>
          <w:szCs w:val="22"/>
          <w:lang w:val="tr-TR"/>
        </w:rPr>
      </w:pPr>
      <w:r w:rsidRPr="000E206D">
        <w:rPr>
          <w:rFonts w:ascii="Times New Roman" w:eastAsiaTheme="minorHAnsi" w:hAnsi="Times New Roman"/>
          <w:b w:val="0"/>
          <w:sz w:val="22"/>
          <w:szCs w:val="22"/>
          <w:lang w:val="tr-TR"/>
        </w:rPr>
        <w:t>Her bir jüri üyesine bildirimde bulunulduktan sonra bu, formda teklif edilen savunma tarihi ve saatinin onayı anlamına gelir. Aynı zamanda bununla, jüri üyeleri, teklif edilen tarih ve saatte hazır bulunmayı taahhüt ederler.</w:t>
      </w:r>
    </w:p>
    <w:p w:rsidR="00587546" w:rsidRPr="000E206D" w:rsidRDefault="00482EC5" w:rsidP="00FF5481">
      <w:pPr>
        <w:pStyle w:val="ListeParagraf"/>
        <w:numPr>
          <w:ilvl w:val="0"/>
          <w:numId w:val="3"/>
        </w:numPr>
        <w:tabs>
          <w:tab w:val="left" w:pos="993"/>
        </w:tabs>
        <w:spacing w:before="60" w:after="60"/>
        <w:jc w:val="both"/>
        <w:rPr>
          <w:rFonts w:ascii="Times New Roman" w:hAnsi="Times New Roman" w:cs="Times New Roman"/>
        </w:rPr>
      </w:pPr>
      <w:r>
        <w:rPr>
          <w:rFonts w:ascii="Times New Roman" w:hAnsi="Times New Roman" w:cs="Times New Roman"/>
        </w:rPr>
        <w:t>Öğrencinin doktora tez savunmasına</w:t>
      </w:r>
      <w:r w:rsidR="00587546" w:rsidRPr="000E206D">
        <w:rPr>
          <w:rFonts w:ascii="Times New Roman" w:hAnsi="Times New Roman" w:cs="Times New Roman"/>
        </w:rPr>
        <w:t xml:space="preserve"> girebilmesi için en az üç kere başarılı tez izleme komitesi raporu sunması ve tezi ile ilgili en az bir yayınının ulusal ya da uluslararası hakemli bir dergide yayınlanmak üzere kabul edilmiş olması gerekir.</w:t>
      </w:r>
    </w:p>
    <w:p w:rsidR="00667C9F" w:rsidRPr="00F76F8F" w:rsidRDefault="001400CF" w:rsidP="009D037B">
      <w:pPr>
        <w:pStyle w:val="ListeParagraf"/>
        <w:numPr>
          <w:ilvl w:val="0"/>
          <w:numId w:val="3"/>
        </w:numPr>
        <w:tabs>
          <w:tab w:val="left" w:pos="993"/>
        </w:tabs>
        <w:spacing w:before="60" w:after="60"/>
        <w:jc w:val="both"/>
        <w:rPr>
          <w:rFonts w:ascii="Times New Roman" w:hAnsi="Times New Roman" w:cs="Times New Roman"/>
          <w:b/>
        </w:rPr>
      </w:pPr>
      <w:r w:rsidRPr="00F76F8F">
        <w:rPr>
          <w:rFonts w:ascii="Times New Roman" w:hAnsi="Times New Roman" w:cs="Times New Roman"/>
        </w:rPr>
        <w:t>Davetiyeler j</w:t>
      </w:r>
      <w:r w:rsidR="00667C9F" w:rsidRPr="00F76F8F">
        <w:rPr>
          <w:rFonts w:ascii="Times New Roman" w:hAnsi="Times New Roman" w:cs="Times New Roman"/>
        </w:rPr>
        <w:t>üri üyelerinin e</w:t>
      </w:r>
      <w:r w:rsidRPr="00F76F8F">
        <w:rPr>
          <w:rFonts w:ascii="Times New Roman" w:hAnsi="Times New Roman" w:cs="Times New Roman"/>
        </w:rPr>
        <w:t>-mail adreslerine gönderili</w:t>
      </w:r>
      <w:r w:rsidR="00161148" w:rsidRPr="00F76F8F">
        <w:rPr>
          <w:rFonts w:ascii="Times New Roman" w:hAnsi="Times New Roman" w:cs="Times New Roman"/>
        </w:rPr>
        <w:t>r. Islak n</w:t>
      </w:r>
      <w:r w:rsidR="00667C9F" w:rsidRPr="00F76F8F">
        <w:rPr>
          <w:rFonts w:ascii="Times New Roman" w:hAnsi="Times New Roman" w:cs="Times New Roman"/>
        </w:rPr>
        <w:t>üshası talep edildiği takdirde Enst</w:t>
      </w:r>
      <w:r w:rsidR="00161148" w:rsidRPr="00F76F8F">
        <w:rPr>
          <w:rFonts w:ascii="Times New Roman" w:hAnsi="Times New Roman" w:cs="Times New Roman"/>
        </w:rPr>
        <w:t>itü tarafından temin edilir</w:t>
      </w:r>
      <w:r w:rsidR="00667C9F" w:rsidRPr="00F76F8F">
        <w:rPr>
          <w:rFonts w:ascii="Times New Roman" w:hAnsi="Times New Roman" w:cs="Times New Roman"/>
        </w:rPr>
        <w:t>.</w:t>
      </w:r>
      <w:r w:rsidR="00667C9F" w:rsidRPr="00F76F8F">
        <w:rPr>
          <w:rFonts w:ascii="Times New Roman" w:hAnsi="Times New Roman" w:cs="Times New Roman"/>
          <w:b/>
        </w:rPr>
        <w:br w:type="page"/>
      </w:r>
    </w:p>
    <w:p w:rsidR="00BF6191" w:rsidRPr="000E206D" w:rsidRDefault="00BF6191" w:rsidP="00BF6191">
      <w:pPr>
        <w:spacing w:before="60" w:after="60"/>
        <w:jc w:val="both"/>
        <w:rPr>
          <w:rFonts w:ascii="Times New Roman" w:hAnsi="Times New Roman" w:cs="Times New Roman"/>
          <w:b/>
        </w:rPr>
      </w:pPr>
      <w:r w:rsidRPr="000E206D">
        <w:rPr>
          <w:rFonts w:ascii="Times New Roman" w:hAnsi="Times New Roman" w:cs="Times New Roman"/>
          <w:b/>
        </w:rPr>
        <w:lastRenderedPageBreak/>
        <w:t>İlgili Maddeler:</w:t>
      </w:r>
    </w:p>
    <w:p w:rsidR="008F273E" w:rsidRPr="000E206D" w:rsidRDefault="008F273E" w:rsidP="00BB264C">
      <w:pPr>
        <w:ind w:firstLine="709"/>
        <w:rPr>
          <w:rFonts w:ascii="Times New Roman" w:hAnsi="Times New Roman" w:cs="Times New Roman"/>
          <w:b/>
        </w:rPr>
      </w:pPr>
      <w:r w:rsidRPr="000E206D">
        <w:rPr>
          <w:rFonts w:ascii="Times New Roman" w:hAnsi="Times New Roman" w:cs="Times New Roman"/>
          <w:b/>
        </w:rPr>
        <w:t>Yüksek Lisans:</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 </w:t>
      </w:r>
      <w:r w:rsidRPr="000E206D">
        <w:rPr>
          <w:rFonts w:ascii="Times New Roman" w:hAnsi="Times New Roman" w:cs="Times New Roman"/>
          <w:b/>
        </w:rPr>
        <w:t>MADDE 32 –</w:t>
      </w:r>
      <w:r w:rsidRPr="000E206D">
        <w:rPr>
          <w:rFonts w:ascii="Times New Roman" w:hAnsi="Times New Roman" w:cs="Times New Roman"/>
        </w:rPr>
        <w:t xml:space="preserve"> (1) Öğrenci, tez konusunun belirlenmesini izleyen yarıyıl başından itibaren her yarıyıl tez ve teze ilişkin derslere kayıt yaptırmak zorundadır. Öğrenci, elde ettiği sonuçları Senato tarafından belirlenen tez yazım kılavuzuna uygun biçimde İngilizce programlar için İngilizce yazmak ve tezini jüri önünde İngilizce savunmak, Türkçe programlarda ise Türkçe olarak yazmak ve savunmak zorundadır.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(2) Yüksek lisans tezinin savunmasından önce ve düzeltme verilen tezlerde ise düzeltme ile birlikte öğrenci tezini tamamlayarak danışmanına sunar. Danışman, tezin savunulabilir olduğuna ilişkin görüşü ile birlikte tezi EABDB vasıtasıyla Enstitüye teslim eder. Enstitü söz konusu teze ilişkin intihal yazılım programı raporunu alarak danışmana ve jüri üyelerine gönderir. Rapordaki verilerde gerçek bir intihalin tespiti halinde, gerekçesi ile birlikte karar verilmek üzere tez ilgili enstitü yönetim kuruluna gönderilir.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(3) Tez jürisi, EABDB’</w:t>
      </w:r>
      <w:r w:rsidR="00356678">
        <w:rPr>
          <w:rFonts w:ascii="Times New Roman" w:hAnsi="Times New Roman" w:cs="Times New Roman"/>
        </w:rPr>
        <w:t xml:space="preserve"> </w:t>
      </w:r>
      <w:r w:rsidRPr="000E206D">
        <w:rPr>
          <w:rFonts w:ascii="Times New Roman" w:hAnsi="Times New Roman" w:cs="Times New Roman"/>
        </w:rPr>
        <w:t xml:space="preserve">nin önerisi ve ilgili enstitü yönetim kurulu kararıyla atanır. Jüri, biri öğrencinin tez danışmanı olmak üzere üç veya beş kişiden oluşur. Jürinin üç kişiden oluşması durumunda jüri üyelerinden en az biri, beş kişiden oluşması durumunda ise ikisi başka bir üniversitenin öğretim üyesi olmalıdır. Jürinin üç kişiden oluşması durumunda ikinci tez danışmanı jüri üyesi olamaz.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(4) Tez çalışmasını tamamlayan öğrenci, tezin istenen sayıda nüshasını tez danışmanına teslim eder. Danışman, tezin yazım kurallarına uygunluğu yönünden yazılı olarak belirttiği görüşü ile tezin nüshalarını EABDB aracılığıyla ilgili enstitüye gönderir.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(5) Jüri üyeleri, tezin kendilerine teslim edildiği tarihten itibaren en geç bir ay içinde toplanarak öğrenciyi tez savunmasına alır. Tez savunması, tez çalışmasının sunulması ile bunu izleyen soru-cevap bölümünden oluşur. Tez sınavı, öğretim elemanları, lisansüstü öğrenciler ve alanın uzmanlarından oluşan dinleyicilerin katılımına açık ortamlarda gerçekleştirilir. </w:t>
      </w:r>
    </w:p>
    <w:p w:rsidR="008F273E" w:rsidRPr="000E206D" w:rsidRDefault="008F273E" w:rsidP="008F273E">
      <w:pPr>
        <w:ind w:firstLine="709"/>
        <w:jc w:val="both"/>
        <w:rPr>
          <w:rFonts w:ascii="Times New Roman" w:hAnsi="Times New Roman" w:cs="Times New Roman"/>
          <w:b/>
        </w:rPr>
      </w:pPr>
      <w:r w:rsidRPr="000E206D">
        <w:rPr>
          <w:rFonts w:ascii="Times New Roman" w:hAnsi="Times New Roman" w:cs="Times New Roman"/>
          <w:b/>
        </w:rPr>
        <w:t>Doktora:</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 </w:t>
      </w:r>
      <w:r w:rsidRPr="00356678">
        <w:rPr>
          <w:rFonts w:ascii="Times New Roman" w:hAnsi="Times New Roman" w:cs="Times New Roman"/>
          <w:b/>
        </w:rPr>
        <w:t>MADDE 41</w:t>
      </w:r>
      <w:r w:rsidRPr="000E206D">
        <w:rPr>
          <w:rFonts w:ascii="Times New Roman" w:hAnsi="Times New Roman" w:cs="Times New Roman"/>
        </w:rPr>
        <w:t xml:space="preserve"> – (3) Öğrencinin tez savunmasına girebilmesi için, en az üç kere başarılı tez izleme komitesi raporu sunması ve tezi ile ilgili en az bir yayınının ulusal ya da uluslararası hakemli bir dergide yayınlanmak üzere kabul edilmiş olması gerekir.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(4) Öğrenci, elde ettiği sonuçları Üniversitenin tez yazım kılavuzuna uygun biçimde İngilizce programlar için İngilizce yazmak ve tezini jüri önünde İngilizce savunmak, Türkçe programlarda ise Türkçe olarak yazmak ve savunmak zorundadır. Tez savunmasına ilişkin düzenlemeler şunlardır: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a) Doktora tezinin savunmasından önce ve düzeltme verilen tezlerde ise düzeltme ile birlikte öğrenci tezini tamamlayarak danışmanına sunar. Danışman, tezin savunulabilir olduğuna ilişkin görüşü ile birlikte tezi ilgili enstitüye teslim eder. Enstitü, söz konusu teze ilişkin intihal yazılım programı raporunu alarak danışmana ve jüri üyelerine gönderir. Rapordaki verilerde gerçek bir 3 intihalin tespiti halinde gerekçesi ile birlikte karar verilmek üzere tez ilgili enstitü yönetim kuruluna gönderilir. </w:t>
      </w:r>
    </w:p>
    <w:p w:rsidR="008F273E" w:rsidRPr="000E206D" w:rsidRDefault="008F273E" w:rsidP="008F273E">
      <w:pPr>
        <w:ind w:firstLine="709"/>
        <w:jc w:val="both"/>
        <w:rPr>
          <w:rFonts w:ascii="Times New Roman" w:hAnsi="Times New Roman" w:cs="Times New Roman"/>
        </w:rPr>
      </w:pPr>
      <w:r w:rsidRPr="000E206D">
        <w:rPr>
          <w:rFonts w:ascii="Times New Roman" w:hAnsi="Times New Roman" w:cs="Times New Roman"/>
        </w:rPr>
        <w:t xml:space="preserve">b) Doktora tez jürisi, danışman ve EABDB önerisi ve ilgili enstitü yönetim kurulu onayı ile atanır. Jüri, üçü öğrencinin tez izleme komitesinde yer alan öğretim üyeleri ve en az ikisi Üniversite dışından olmak üzere danışman </w:t>
      </w:r>
      <w:proofErr w:type="gramStart"/>
      <w:r w:rsidRPr="000E206D">
        <w:rPr>
          <w:rFonts w:ascii="Times New Roman" w:hAnsi="Times New Roman" w:cs="Times New Roman"/>
        </w:rPr>
        <w:t>dahil</w:t>
      </w:r>
      <w:proofErr w:type="gramEnd"/>
      <w:r w:rsidRPr="000E206D">
        <w:rPr>
          <w:rFonts w:ascii="Times New Roman" w:hAnsi="Times New Roman" w:cs="Times New Roman"/>
        </w:rPr>
        <w:t xml:space="preserve"> beş öğretim üyesinden oluşur. Danışmanın oy hakkı olup olmadığı hususunda ilgili enstitü yönetim kurulu karar verir. Danışmanın oy hakkı olmaması durumunda jüri altı öğretim üyesinden oluşur. Ayrıca ikinci tez danışmanı oy hakkı olmaksızın jüride yer alabilir. </w:t>
      </w:r>
    </w:p>
    <w:p w:rsidR="002A1AE4" w:rsidRPr="000E206D" w:rsidRDefault="008F273E" w:rsidP="008F273E">
      <w:pPr>
        <w:ind w:firstLine="709"/>
        <w:jc w:val="both"/>
        <w:rPr>
          <w:rFonts w:ascii="Times New Roman" w:hAnsi="Times New Roman" w:cs="Times New Roman"/>
          <w:b/>
        </w:rPr>
      </w:pPr>
      <w:r w:rsidRPr="000E206D">
        <w:rPr>
          <w:rFonts w:ascii="Times New Roman" w:hAnsi="Times New Roman" w:cs="Times New Roman"/>
        </w:rPr>
        <w:t>c) Jüri üyeleri, tezin kendilerine teslim edildiği tarihten itibaren en geç bir ay içinde toplanarak öğrenciyi tez sınavına alırlar. Tez sınavı, tez çalışmasının sunulması ve bunu izleyen soru-cevap bölümünden oluşur. Tez savunma toplantıları öğretim elemanları, lisansüstü öğrenciler ve alanın uzmanlarından oluşan dinleyicilerin katılımına açık olarak yapılır.</w:t>
      </w:r>
    </w:p>
    <w:sectPr w:rsidR="002A1AE4" w:rsidRPr="000E206D" w:rsidSect="00C546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A70A15"/>
    <w:multiLevelType w:val="hybridMultilevel"/>
    <w:tmpl w:val="DC7E64F4"/>
    <w:lvl w:ilvl="0" w:tplc="041F000D">
      <w:start w:val="1"/>
      <w:numFmt w:val="bullet"/>
      <w:lvlText w:val=""/>
      <w:lvlJc w:val="left"/>
      <w:pPr>
        <w:ind w:left="957" w:hanging="360"/>
      </w:pPr>
      <w:rPr>
        <w:rFonts w:ascii="Wingdings" w:hAnsi="Wingdings" w:hint="default"/>
      </w:rPr>
    </w:lvl>
    <w:lvl w:ilvl="1" w:tplc="041F0003" w:tentative="1">
      <w:start w:val="1"/>
      <w:numFmt w:val="bullet"/>
      <w:lvlText w:val="o"/>
      <w:lvlJc w:val="left"/>
      <w:pPr>
        <w:ind w:left="1677" w:hanging="360"/>
      </w:pPr>
      <w:rPr>
        <w:rFonts w:ascii="Courier New" w:hAnsi="Courier New" w:cs="Courier New" w:hint="default"/>
      </w:rPr>
    </w:lvl>
    <w:lvl w:ilvl="2" w:tplc="041F0005" w:tentative="1">
      <w:start w:val="1"/>
      <w:numFmt w:val="bullet"/>
      <w:lvlText w:val=""/>
      <w:lvlJc w:val="left"/>
      <w:pPr>
        <w:ind w:left="2397" w:hanging="360"/>
      </w:pPr>
      <w:rPr>
        <w:rFonts w:ascii="Wingdings" w:hAnsi="Wingdings" w:hint="default"/>
      </w:rPr>
    </w:lvl>
    <w:lvl w:ilvl="3" w:tplc="041F0001" w:tentative="1">
      <w:start w:val="1"/>
      <w:numFmt w:val="bullet"/>
      <w:lvlText w:val=""/>
      <w:lvlJc w:val="left"/>
      <w:pPr>
        <w:ind w:left="3117" w:hanging="360"/>
      </w:pPr>
      <w:rPr>
        <w:rFonts w:ascii="Symbol" w:hAnsi="Symbol" w:hint="default"/>
      </w:rPr>
    </w:lvl>
    <w:lvl w:ilvl="4" w:tplc="041F0003" w:tentative="1">
      <w:start w:val="1"/>
      <w:numFmt w:val="bullet"/>
      <w:lvlText w:val="o"/>
      <w:lvlJc w:val="left"/>
      <w:pPr>
        <w:ind w:left="3837" w:hanging="360"/>
      </w:pPr>
      <w:rPr>
        <w:rFonts w:ascii="Courier New" w:hAnsi="Courier New" w:cs="Courier New" w:hint="default"/>
      </w:rPr>
    </w:lvl>
    <w:lvl w:ilvl="5" w:tplc="041F0005" w:tentative="1">
      <w:start w:val="1"/>
      <w:numFmt w:val="bullet"/>
      <w:lvlText w:val=""/>
      <w:lvlJc w:val="left"/>
      <w:pPr>
        <w:ind w:left="4557" w:hanging="360"/>
      </w:pPr>
      <w:rPr>
        <w:rFonts w:ascii="Wingdings" w:hAnsi="Wingdings" w:hint="default"/>
      </w:rPr>
    </w:lvl>
    <w:lvl w:ilvl="6" w:tplc="041F0001" w:tentative="1">
      <w:start w:val="1"/>
      <w:numFmt w:val="bullet"/>
      <w:lvlText w:val=""/>
      <w:lvlJc w:val="left"/>
      <w:pPr>
        <w:ind w:left="5277" w:hanging="360"/>
      </w:pPr>
      <w:rPr>
        <w:rFonts w:ascii="Symbol" w:hAnsi="Symbol" w:hint="default"/>
      </w:rPr>
    </w:lvl>
    <w:lvl w:ilvl="7" w:tplc="041F0003" w:tentative="1">
      <w:start w:val="1"/>
      <w:numFmt w:val="bullet"/>
      <w:lvlText w:val="o"/>
      <w:lvlJc w:val="left"/>
      <w:pPr>
        <w:ind w:left="5997" w:hanging="360"/>
      </w:pPr>
      <w:rPr>
        <w:rFonts w:ascii="Courier New" w:hAnsi="Courier New" w:cs="Courier New" w:hint="default"/>
      </w:rPr>
    </w:lvl>
    <w:lvl w:ilvl="8" w:tplc="041F0005" w:tentative="1">
      <w:start w:val="1"/>
      <w:numFmt w:val="bullet"/>
      <w:lvlText w:val=""/>
      <w:lvlJc w:val="left"/>
      <w:pPr>
        <w:ind w:left="67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0048"/>
    <w:rsid w:val="00033613"/>
    <w:rsid w:val="000D1045"/>
    <w:rsid w:val="000D1250"/>
    <w:rsid w:val="000E206D"/>
    <w:rsid w:val="000F1975"/>
    <w:rsid w:val="00115553"/>
    <w:rsid w:val="0013381D"/>
    <w:rsid w:val="001400CF"/>
    <w:rsid w:val="00161148"/>
    <w:rsid w:val="0016755E"/>
    <w:rsid w:val="00184613"/>
    <w:rsid w:val="001E58EF"/>
    <w:rsid w:val="001F5416"/>
    <w:rsid w:val="00206C09"/>
    <w:rsid w:val="00244F79"/>
    <w:rsid w:val="002A1AE4"/>
    <w:rsid w:val="003412E5"/>
    <w:rsid w:val="00356678"/>
    <w:rsid w:val="00362CB9"/>
    <w:rsid w:val="00366569"/>
    <w:rsid w:val="00373E73"/>
    <w:rsid w:val="0039386F"/>
    <w:rsid w:val="003C2E50"/>
    <w:rsid w:val="003F1CC9"/>
    <w:rsid w:val="00405A5B"/>
    <w:rsid w:val="00441D9D"/>
    <w:rsid w:val="00470864"/>
    <w:rsid w:val="00482EC5"/>
    <w:rsid w:val="004D4949"/>
    <w:rsid w:val="004D7FA7"/>
    <w:rsid w:val="00503D08"/>
    <w:rsid w:val="005418F3"/>
    <w:rsid w:val="005748F9"/>
    <w:rsid w:val="005872F2"/>
    <w:rsid w:val="00587546"/>
    <w:rsid w:val="00654FF1"/>
    <w:rsid w:val="00667C9F"/>
    <w:rsid w:val="006E66B2"/>
    <w:rsid w:val="006F367D"/>
    <w:rsid w:val="007B1996"/>
    <w:rsid w:val="007D03B9"/>
    <w:rsid w:val="00835058"/>
    <w:rsid w:val="00860A3D"/>
    <w:rsid w:val="00863F9D"/>
    <w:rsid w:val="008A4B24"/>
    <w:rsid w:val="008F273E"/>
    <w:rsid w:val="00915DF0"/>
    <w:rsid w:val="009B137D"/>
    <w:rsid w:val="009E24BD"/>
    <w:rsid w:val="00A1167F"/>
    <w:rsid w:val="00A30666"/>
    <w:rsid w:val="00A542E1"/>
    <w:rsid w:val="00AA3510"/>
    <w:rsid w:val="00B30DAC"/>
    <w:rsid w:val="00BB264C"/>
    <w:rsid w:val="00BD7DC5"/>
    <w:rsid w:val="00BF6191"/>
    <w:rsid w:val="00C31F92"/>
    <w:rsid w:val="00C546F9"/>
    <w:rsid w:val="00CE3209"/>
    <w:rsid w:val="00CE6A1F"/>
    <w:rsid w:val="00CF7819"/>
    <w:rsid w:val="00D6537C"/>
    <w:rsid w:val="00D66B9E"/>
    <w:rsid w:val="00D7466E"/>
    <w:rsid w:val="00D92A2F"/>
    <w:rsid w:val="00E22D40"/>
    <w:rsid w:val="00EB037A"/>
    <w:rsid w:val="00EB1DF6"/>
    <w:rsid w:val="00ED78AA"/>
    <w:rsid w:val="00F02D0C"/>
    <w:rsid w:val="00F358B7"/>
    <w:rsid w:val="00F513E4"/>
    <w:rsid w:val="00F76F8F"/>
    <w:rsid w:val="00FC10C8"/>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dcterms:created xsi:type="dcterms:W3CDTF">2024-10-10T12:01:00Z</dcterms:created>
  <dcterms:modified xsi:type="dcterms:W3CDTF">2024-10-10T12:01:00Z</dcterms:modified>
</cp:coreProperties>
</file>