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265"/>
        <w:gridCol w:w="8716"/>
      </w:tblGrid>
      <w:tr w:rsidR="00115553" w:rsidRPr="00D52AD4" w:rsidTr="00877F10">
        <w:trPr>
          <w:trHeight w:val="1244"/>
        </w:trPr>
        <w:tc>
          <w:tcPr>
            <w:tcW w:w="1265" w:type="dxa"/>
            <w:shd w:val="clear" w:color="auto" w:fill="EDEDED" w:themeFill="accent3" w:themeFillTint="33"/>
            <w:vAlign w:val="center"/>
          </w:tcPr>
          <w:p w:rsidR="00115553" w:rsidRPr="00D52AD4" w:rsidRDefault="00115553" w:rsidP="002A1AE4">
            <w:pPr>
              <w:keepNext/>
              <w:spacing w:before="60" w:after="60" w:line="240" w:lineRule="auto"/>
              <w:outlineLvl w:val="0"/>
              <w:rPr>
                <w:rFonts w:ascii="Times New Roman" w:eastAsia="Times New Roman" w:hAnsi="Times New Roman" w:cs="Times New Roman"/>
                <w:sz w:val="32"/>
                <w:szCs w:val="20"/>
                <w:lang w:val="en-US"/>
              </w:rPr>
            </w:pPr>
            <w:r w:rsidRPr="00D52AD4">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D52AD4"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D52AD4">
              <w:rPr>
                <w:rFonts w:ascii="Times New Roman" w:eastAsia="Times New Roman" w:hAnsi="Times New Roman" w:cs="Times New Roman"/>
                <w:b/>
                <w:color w:val="000000"/>
                <w:sz w:val="32"/>
                <w:szCs w:val="20"/>
                <w:lang w:val="en-US"/>
              </w:rPr>
              <w:t>ÇANKAYA ÜNİVERSİTESİ</w:t>
            </w:r>
          </w:p>
          <w:p w:rsidR="00877F10" w:rsidRPr="00D56EC2" w:rsidRDefault="00877F10" w:rsidP="00877F10">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D52AD4" w:rsidRDefault="00DC578C" w:rsidP="00096301">
            <w:pPr>
              <w:pStyle w:val="Balk1"/>
              <w:jc w:val="center"/>
              <w:rPr>
                <w:rFonts w:ascii="Times New Roman" w:hAnsi="Times New Roman"/>
                <w:color w:val="000000"/>
                <w:sz w:val="24"/>
                <w:szCs w:val="24"/>
              </w:rPr>
            </w:pPr>
            <w:r w:rsidRPr="00D52AD4">
              <w:rPr>
                <w:rFonts w:ascii="Times New Roman" w:hAnsi="Times New Roman"/>
                <w:b/>
                <w:color w:val="000000"/>
                <w:sz w:val="24"/>
                <w:szCs w:val="24"/>
              </w:rPr>
              <w:t xml:space="preserve">FORM </w:t>
            </w:r>
            <w:r w:rsidR="00FE581E">
              <w:rPr>
                <w:rFonts w:ascii="Times New Roman" w:hAnsi="Times New Roman"/>
                <w:b/>
                <w:color w:val="000000"/>
                <w:sz w:val="24"/>
                <w:szCs w:val="24"/>
              </w:rPr>
              <w:t>10</w:t>
            </w:r>
            <w:r w:rsidR="009631B0">
              <w:rPr>
                <w:rFonts w:ascii="Times New Roman" w:hAnsi="Times New Roman"/>
                <w:b/>
                <w:color w:val="000000"/>
                <w:sz w:val="24"/>
                <w:szCs w:val="24"/>
              </w:rPr>
              <w:t>A</w:t>
            </w:r>
            <w:r w:rsidR="00096301" w:rsidRPr="00D52AD4">
              <w:rPr>
                <w:rFonts w:ascii="Times New Roman" w:hAnsi="Times New Roman"/>
                <w:b/>
                <w:color w:val="000000"/>
                <w:sz w:val="24"/>
                <w:szCs w:val="24"/>
              </w:rPr>
              <w:t xml:space="preserve">- </w:t>
            </w:r>
            <w:r w:rsidR="00096301" w:rsidRPr="00D52AD4">
              <w:rPr>
                <w:rFonts w:ascii="Times New Roman" w:hAnsi="Times New Roman"/>
                <w:b/>
                <w:color w:val="000000"/>
                <w:sz w:val="24"/>
                <w:szCs w:val="24"/>
                <w:lang w:val="tr-TR"/>
              </w:rPr>
              <w:t>Doktora</w:t>
            </w:r>
            <w:r w:rsidR="00A60882">
              <w:rPr>
                <w:rFonts w:ascii="Times New Roman" w:hAnsi="Times New Roman"/>
                <w:b/>
                <w:color w:val="000000"/>
                <w:sz w:val="24"/>
                <w:szCs w:val="24"/>
                <w:lang w:val="tr-TR"/>
              </w:rPr>
              <w:t xml:space="preserve"> Yeterlik Yazılı ve Sözlü Sınav</w:t>
            </w:r>
            <w:r w:rsidR="00096301" w:rsidRPr="00D52AD4">
              <w:rPr>
                <w:rFonts w:ascii="Times New Roman" w:hAnsi="Times New Roman"/>
                <w:b/>
                <w:color w:val="000000"/>
                <w:sz w:val="24"/>
                <w:szCs w:val="24"/>
                <w:lang w:val="tr-TR"/>
              </w:rPr>
              <w:t xml:space="preserve"> Değerlendirme Formu</w:t>
            </w:r>
          </w:p>
        </w:tc>
      </w:tr>
    </w:tbl>
    <w:p w:rsidR="00244F79" w:rsidRDefault="00244F79" w:rsidP="002A1AE4">
      <w:pPr>
        <w:spacing w:before="60" w:after="60"/>
        <w:rPr>
          <w:rFonts w:ascii="Times New Roman" w:hAnsi="Times New Roman" w:cs="Times New Roman"/>
        </w:rPr>
      </w:pPr>
    </w:p>
    <w:tbl>
      <w:tblPr>
        <w:tblStyle w:val="TabloKlavuzu"/>
        <w:tblW w:w="9997" w:type="dxa"/>
        <w:tblLook w:val="04A0" w:firstRow="1" w:lastRow="0" w:firstColumn="1" w:lastColumn="0" w:noHBand="0" w:noVBand="1"/>
      </w:tblPr>
      <w:tblGrid>
        <w:gridCol w:w="9997"/>
      </w:tblGrid>
      <w:tr w:rsidR="007D0CAF" w:rsidRPr="00D52AD4" w:rsidTr="00877F10">
        <w:trPr>
          <w:trHeight w:val="258"/>
        </w:trPr>
        <w:tc>
          <w:tcPr>
            <w:tcW w:w="9997" w:type="dxa"/>
            <w:shd w:val="clear" w:color="auto" w:fill="EDEDED" w:themeFill="accent3" w:themeFillTint="33"/>
            <w:vAlign w:val="center"/>
          </w:tcPr>
          <w:p w:rsidR="007D0CAF" w:rsidRPr="00D52AD4" w:rsidRDefault="007D0CAF" w:rsidP="00877F10">
            <w:pPr>
              <w:spacing w:before="60" w:after="60" w:line="360" w:lineRule="auto"/>
              <w:rPr>
                <w:rFonts w:ascii="Times New Roman" w:hAnsi="Times New Roman" w:cs="Times New Roman"/>
                <w:b/>
              </w:rPr>
            </w:pPr>
            <w:r>
              <w:rPr>
                <w:rFonts w:ascii="Times New Roman" w:hAnsi="Times New Roman" w:cs="Times New Roman"/>
                <w:b/>
              </w:rPr>
              <w:t>Öğrenci</w:t>
            </w:r>
          </w:p>
        </w:tc>
      </w:tr>
      <w:tr w:rsidR="007D0CAF" w:rsidRPr="00D52AD4" w:rsidTr="002F0498">
        <w:trPr>
          <w:trHeight w:val="388"/>
        </w:trPr>
        <w:tc>
          <w:tcPr>
            <w:tcW w:w="9997" w:type="dxa"/>
            <w:vAlign w:val="center"/>
          </w:tcPr>
          <w:p w:rsidR="007D0CAF" w:rsidRPr="00D52AD4" w:rsidRDefault="00877F10" w:rsidP="00877F10">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 xml:space="preserve">Enstitü </w:t>
            </w:r>
            <w:r w:rsidR="007D0CAF" w:rsidRPr="00D52AD4">
              <w:rPr>
                <w:rFonts w:ascii="Times New Roman" w:hAnsi="Times New Roman" w:cs="Times New Roman"/>
              </w:rPr>
              <w:t>web sayfasınd</w:t>
            </w:r>
            <w:r w:rsidR="00FE581E">
              <w:rPr>
                <w:rFonts w:ascii="Times New Roman" w:hAnsi="Times New Roman" w:cs="Times New Roman"/>
              </w:rPr>
              <w:t>a “Formlar” sekmesindeki Form 10</w:t>
            </w:r>
            <w:r w:rsidR="007D0CAF">
              <w:rPr>
                <w:rFonts w:ascii="Times New Roman" w:hAnsi="Times New Roman" w:cs="Times New Roman"/>
              </w:rPr>
              <w:t>A’yı</w:t>
            </w:r>
            <w:r w:rsidR="007D0CAF" w:rsidRPr="00D52AD4">
              <w:rPr>
                <w:rFonts w:ascii="Times New Roman" w:hAnsi="Times New Roman" w:cs="Times New Roman"/>
              </w:rPr>
              <w:t xml:space="preserve"> bilgisayar ortamında doldurur. </w:t>
            </w:r>
          </w:p>
        </w:tc>
      </w:tr>
    </w:tbl>
    <w:p w:rsidR="007D0CAF" w:rsidRDefault="007D0CAF" w:rsidP="00877F10">
      <w:pPr>
        <w:spacing w:before="60" w:after="60" w:line="360" w:lineRule="auto"/>
        <w:rPr>
          <w:rFonts w:ascii="Times New Roman" w:hAnsi="Times New Roman" w:cs="Times New Roman"/>
        </w:rPr>
      </w:pPr>
      <w:r w:rsidRPr="00D52AD4">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65F7813A" wp14:editId="63256A3B">
                <wp:simplePos x="0" y="0"/>
                <wp:positionH relativeFrom="column">
                  <wp:posOffset>2867025</wp:posOffset>
                </wp:positionH>
                <wp:positionV relativeFrom="paragraph">
                  <wp:posOffset>46990</wp:posOffset>
                </wp:positionV>
                <wp:extent cx="152400" cy="2095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5C4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225.75pt;margin-top:3.7pt;width:12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W w:w="9997" w:type="dxa"/>
        <w:tblLook w:val="04A0" w:firstRow="1" w:lastRow="0" w:firstColumn="1" w:lastColumn="0" w:noHBand="0" w:noVBand="1"/>
      </w:tblPr>
      <w:tblGrid>
        <w:gridCol w:w="9997"/>
      </w:tblGrid>
      <w:tr w:rsidR="00115553" w:rsidRPr="00D52AD4" w:rsidTr="00877F10">
        <w:trPr>
          <w:trHeight w:val="258"/>
        </w:trPr>
        <w:tc>
          <w:tcPr>
            <w:tcW w:w="9997" w:type="dxa"/>
            <w:shd w:val="clear" w:color="auto" w:fill="EDEDED" w:themeFill="accent3" w:themeFillTint="33"/>
            <w:vAlign w:val="center"/>
          </w:tcPr>
          <w:p w:rsidR="00115553" w:rsidRPr="00D52AD4" w:rsidRDefault="00FC28CB" w:rsidP="00877F10">
            <w:pPr>
              <w:spacing w:before="60" w:after="60" w:line="360" w:lineRule="auto"/>
              <w:rPr>
                <w:rFonts w:ascii="Times New Roman" w:hAnsi="Times New Roman" w:cs="Times New Roman"/>
                <w:b/>
              </w:rPr>
            </w:pPr>
            <w:r w:rsidRPr="00D52AD4">
              <w:rPr>
                <w:rFonts w:ascii="Times New Roman" w:hAnsi="Times New Roman" w:cs="Times New Roman"/>
                <w:b/>
              </w:rPr>
              <w:t>Komite/Tez Danışmanı</w:t>
            </w:r>
          </w:p>
        </w:tc>
      </w:tr>
      <w:tr w:rsidR="00115553" w:rsidRPr="00D52AD4" w:rsidTr="009B4616">
        <w:trPr>
          <w:trHeight w:val="388"/>
        </w:trPr>
        <w:tc>
          <w:tcPr>
            <w:tcW w:w="9997" w:type="dxa"/>
            <w:vAlign w:val="center"/>
          </w:tcPr>
          <w:p w:rsidR="00600224" w:rsidRPr="00D52AD4" w:rsidRDefault="00FC28CB" w:rsidP="00877F10">
            <w:pPr>
              <w:pStyle w:val="ListeParagraf"/>
              <w:numPr>
                <w:ilvl w:val="0"/>
                <w:numId w:val="1"/>
              </w:numPr>
              <w:spacing w:before="60" w:after="60" w:line="360" w:lineRule="auto"/>
              <w:jc w:val="both"/>
              <w:rPr>
                <w:rFonts w:ascii="Times New Roman" w:hAnsi="Times New Roman" w:cs="Times New Roman"/>
              </w:rPr>
            </w:pPr>
            <w:r w:rsidRPr="00D52AD4">
              <w:rPr>
                <w:rFonts w:ascii="Times New Roman" w:hAnsi="Times New Roman" w:cs="Times New Roman"/>
              </w:rPr>
              <w:t>Öğrencinin başarı</w:t>
            </w:r>
            <w:r w:rsidR="00C826E6">
              <w:rPr>
                <w:rFonts w:ascii="Times New Roman" w:hAnsi="Times New Roman" w:cs="Times New Roman"/>
              </w:rPr>
              <w:t>lı</w:t>
            </w:r>
            <w:r w:rsidR="00892262">
              <w:rPr>
                <w:rFonts w:ascii="Times New Roman" w:hAnsi="Times New Roman" w:cs="Times New Roman"/>
              </w:rPr>
              <w:t xml:space="preserve"> </w:t>
            </w:r>
            <w:r w:rsidRPr="00D52AD4">
              <w:rPr>
                <w:rFonts w:ascii="Times New Roman" w:hAnsi="Times New Roman" w:cs="Times New Roman"/>
              </w:rPr>
              <w:t>ya da başarısız olduğuna salt çoğunlukla karar verir ve formu Anabilim Dalı Başkanlığına teslim eder.</w:t>
            </w:r>
          </w:p>
        </w:tc>
      </w:tr>
    </w:tbl>
    <w:p w:rsidR="00627726" w:rsidRPr="00D52AD4" w:rsidRDefault="00600224" w:rsidP="00877F10">
      <w:pPr>
        <w:spacing w:before="60" w:after="60" w:line="360" w:lineRule="auto"/>
        <w:rPr>
          <w:rFonts w:ascii="Times New Roman" w:hAnsi="Times New Roman" w:cs="Times New Roman"/>
        </w:rPr>
      </w:pPr>
      <w:bookmarkStart w:id="0" w:name="_GoBack"/>
      <w:bookmarkEnd w:id="0"/>
      <w:r w:rsidRPr="00D52AD4">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9895F73" wp14:editId="561FBBC2">
                <wp:simplePos x="0" y="0"/>
                <wp:positionH relativeFrom="column">
                  <wp:posOffset>2914650</wp:posOffset>
                </wp:positionH>
                <wp:positionV relativeFrom="paragraph">
                  <wp:posOffset>57785</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C5EFD" id="Aşağı Ok 2" o:spid="_x0000_s1026" type="#_x0000_t67" style="position:absolute;margin-left:229.5pt;margin-top:4.55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72" w:type="dxa"/>
        <w:tblLook w:val="04A0" w:firstRow="1" w:lastRow="0" w:firstColumn="1" w:lastColumn="0" w:noHBand="0" w:noVBand="1"/>
      </w:tblPr>
      <w:tblGrid>
        <w:gridCol w:w="10072"/>
      </w:tblGrid>
      <w:tr w:rsidR="00627726" w:rsidRPr="00D52AD4" w:rsidTr="00877F10">
        <w:trPr>
          <w:trHeight w:val="230"/>
        </w:trPr>
        <w:tc>
          <w:tcPr>
            <w:tcW w:w="10072" w:type="dxa"/>
            <w:shd w:val="clear" w:color="auto" w:fill="EDEDED" w:themeFill="accent3" w:themeFillTint="33"/>
          </w:tcPr>
          <w:p w:rsidR="00627726" w:rsidRPr="00D52AD4" w:rsidRDefault="00FC28CB" w:rsidP="00877F10">
            <w:pPr>
              <w:spacing w:before="60" w:after="60" w:line="360" w:lineRule="auto"/>
              <w:rPr>
                <w:rFonts w:ascii="Times New Roman" w:hAnsi="Times New Roman" w:cs="Times New Roman"/>
                <w:b/>
              </w:rPr>
            </w:pPr>
            <w:r w:rsidRPr="00D52AD4">
              <w:rPr>
                <w:rFonts w:ascii="Times New Roman" w:hAnsi="Times New Roman" w:cs="Times New Roman"/>
                <w:b/>
              </w:rPr>
              <w:t>Anabilim Dalı Başkanlığı</w:t>
            </w:r>
          </w:p>
        </w:tc>
      </w:tr>
      <w:tr w:rsidR="00627726" w:rsidRPr="00D52AD4" w:rsidTr="00B72D98">
        <w:trPr>
          <w:trHeight w:val="346"/>
        </w:trPr>
        <w:tc>
          <w:tcPr>
            <w:tcW w:w="10072" w:type="dxa"/>
          </w:tcPr>
          <w:p w:rsidR="00627726" w:rsidRPr="00D52AD4" w:rsidRDefault="00FC28CB" w:rsidP="00877F10">
            <w:pPr>
              <w:pStyle w:val="ListeParagraf"/>
              <w:numPr>
                <w:ilvl w:val="0"/>
                <w:numId w:val="1"/>
              </w:numPr>
              <w:spacing w:before="60" w:after="60" w:line="360" w:lineRule="auto"/>
              <w:rPr>
                <w:rFonts w:ascii="Times New Roman" w:hAnsi="Times New Roman" w:cs="Times New Roman"/>
              </w:rPr>
            </w:pPr>
            <w:r w:rsidRPr="00D52AD4">
              <w:rPr>
                <w:rFonts w:ascii="Times New Roman" w:hAnsi="Times New Roman" w:cs="Times New Roman"/>
              </w:rPr>
              <w:t>Sınavı izleyen 3 gün içerisinde formu EBYS ile Enstitüye iletir.</w:t>
            </w:r>
          </w:p>
        </w:tc>
      </w:tr>
    </w:tbl>
    <w:p w:rsidR="00473C60" w:rsidRPr="00D52AD4" w:rsidRDefault="00877F10" w:rsidP="00877F10">
      <w:pPr>
        <w:spacing w:before="60" w:after="60" w:line="360" w:lineRule="auto"/>
        <w:ind w:left="597" w:hanging="567"/>
        <w:rPr>
          <w:rFonts w:ascii="Times New Roman" w:hAnsi="Times New Roman" w:cs="Times New Roman"/>
          <w:b/>
        </w:rPr>
      </w:pPr>
      <w:r w:rsidRPr="00D52AD4">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7FF2E21E" wp14:editId="23D9A7B7">
                <wp:simplePos x="0" y="0"/>
                <wp:positionH relativeFrom="column">
                  <wp:posOffset>2905125</wp:posOffset>
                </wp:positionH>
                <wp:positionV relativeFrom="paragraph">
                  <wp:posOffset>734060</wp:posOffset>
                </wp:positionV>
                <wp:extent cx="152400" cy="209550"/>
                <wp:effectExtent l="19050" t="0" r="19050" b="38100"/>
                <wp:wrapNone/>
                <wp:docPr id="4" name="Aşağı Ok 4"/>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3F0B" id="Aşağı Ok 4" o:spid="_x0000_s1026" type="#_x0000_t67" style="position:absolute;margin-left:228.75pt;margin-top:57.8pt;width:12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87" w:type="dxa"/>
        <w:tblLook w:val="04A0" w:firstRow="1" w:lastRow="0" w:firstColumn="1" w:lastColumn="0" w:noHBand="0" w:noVBand="1"/>
      </w:tblPr>
      <w:tblGrid>
        <w:gridCol w:w="10087"/>
      </w:tblGrid>
      <w:tr w:rsidR="000341CB" w:rsidRPr="00D52AD4" w:rsidTr="00877F10">
        <w:trPr>
          <w:trHeight w:val="230"/>
        </w:trPr>
        <w:tc>
          <w:tcPr>
            <w:tcW w:w="10087" w:type="dxa"/>
            <w:shd w:val="clear" w:color="auto" w:fill="EDEDED" w:themeFill="accent3" w:themeFillTint="33"/>
          </w:tcPr>
          <w:p w:rsidR="00FC28CB" w:rsidRPr="00D52AD4" w:rsidRDefault="00877F10" w:rsidP="00877F10">
            <w:pPr>
              <w:spacing w:before="60" w:after="60" w:line="360" w:lineRule="auto"/>
              <w:rPr>
                <w:rFonts w:ascii="Times New Roman" w:hAnsi="Times New Roman" w:cs="Times New Roman"/>
                <w:b/>
              </w:rPr>
            </w:pPr>
            <w:r>
              <w:rPr>
                <w:rFonts w:ascii="Times New Roman" w:hAnsi="Times New Roman" w:cs="Times New Roman"/>
                <w:b/>
              </w:rPr>
              <w:t>Lisansüstü Eğitim</w:t>
            </w:r>
            <w:r w:rsidRPr="00C654F2">
              <w:rPr>
                <w:rFonts w:ascii="Times New Roman" w:hAnsi="Times New Roman" w:cs="Times New Roman"/>
                <w:b/>
              </w:rPr>
              <w:t xml:space="preserve"> Enstitüsü</w:t>
            </w:r>
          </w:p>
        </w:tc>
      </w:tr>
      <w:tr w:rsidR="000341CB" w:rsidRPr="00D52AD4" w:rsidTr="00B72D98">
        <w:trPr>
          <w:trHeight w:val="346"/>
        </w:trPr>
        <w:tc>
          <w:tcPr>
            <w:tcW w:w="10087" w:type="dxa"/>
          </w:tcPr>
          <w:p w:rsidR="000341CB" w:rsidRPr="00D52AD4" w:rsidRDefault="00BE266A" w:rsidP="00877F10">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Formu onaylar,</w:t>
            </w:r>
            <w:r w:rsidR="000769DA" w:rsidRPr="00D52AD4">
              <w:rPr>
                <w:rFonts w:ascii="Times New Roman" w:hAnsi="Times New Roman" w:cs="Times New Roman"/>
              </w:rPr>
              <w:t xml:space="preserve"> Enstitü Yönetim Kurulu Kararı alır ve EBYS ile Öğrenci İşleri Daire Başkanlığına gönderir.</w:t>
            </w:r>
          </w:p>
        </w:tc>
      </w:tr>
    </w:tbl>
    <w:p w:rsidR="000341CB" w:rsidRPr="00D52AD4" w:rsidRDefault="000769DA" w:rsidP="00627726">
      <w:pPr>
        <w:spacing w:before="60" w:after="60"/>
        <w:ind w:left="597" w:hanging="567"/>
        <w:rPr>
          <w:rFonts w:ascii="Times New Roman" w:hAnsi="Times New Roman" w:cs="Times New Roman"/>
          <w:b/>
        </w:rPr>
      </w:pPr>
      <w:r w:rsidRPr="00D52AD4">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984250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4B3BD"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2.75pt,77.5pt" to="5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" strokecolor="black [3200]" strokeweight="1.5pt">
                <v:stroke dashstyle="3 1" joinstyle="miter"/>
              </v:line>
            </w:pict>
          </mc:Fallback>
        </mc:AlternateContent>
      </w:r>
    </w:p>
    <w:p w:rsidR="000341CB" w:rsidRPr="00D52AD4" w:rsidRDefault="000341CB" w:rsidP="00627726">
      <w:pPr>
        <w:spacing w:before="60" w:after="60"/>
        <w:ind w:left="597" w:hanging="567"/>
        <w:rPr>
          <w:rFonts w:ascii="Times New Roman" w:hAnsi="Times New Roman" w:cs="Times New Roman"/>
          <w:b/>
        </w:rPr>
      </w:pPr>
    </w:p>
    <w:p w:rsidR="00BF6191" w:rsidRPr="00D52AD4" w:rsidRDefault="00BF6191" w:rsidP="00627726">
      <w:pPr>
        <w:spacing w:before="60" w:after="60"/>
        <w:ind w:left="597" w:hanging="567"/>
        <w:rPr>
          <w:rFonts w:ascii="Times New Roman" w:hAnsi="Times New Roman" w:cs="Times New Roman"/>
          <w:b/>
        </w:rPr>
      </w:pPr>
      <w:r w:rsidRPr="00D52AD4">
        <w:rPr>
          <w:rFonts w:ascii="Times New Roman" w:hAnsi="Times New Roman" w:cs="Times New Roman"/>
          <w:b/>
        </w:rPr>
        <w:t>Önemli Notlar:</w:t>
      </w:r>
    </w:p>
    <w:p w:rsidR="00C510E1" w:rsidRPr="00D52AD4" w:rsidRDefault="000769DA" w:rsidP="00A1613D">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 xml:space="preserve">Öğrenci bir yılda en fazla </w:t>
      </w:r>
      <w:r w:rsidRPr="00BE266A">
        <w:rPr>
          <w:rFonts w:ascii="Times New Roman" w:hAnsi="Times New Roman" w:cs="Times New Roman"/>
          <w:b/>
          <w:u w:val="single"/>
        </w:rPr>
        <w:t>iki kez yeterlilik</w:t>
      </w:r>
      <w:r w:rsidRPr="00D52AD4">
        <w:rPr>
          <w:rFonts w:ascii="Times New Roman" w:hAnsi="Times New Roman" w:cs="Times New Roman"/>
        </w:rPr>
        <w:t xml:space="preserve"> sınavına girebilir. </w:t>
      </w:r>
    </w:p>
    <w:p w:rsidR="000769DA" w:rsidRPr="00D52AD4" w:rsidRDefault="000769DA" w:rsidP="00A1613D">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 xml:space="preserve">Doktora yeterlilik sınavı </w:t>
      </w:r>
      <w:r w:rsidRPr="00BE266A">
        <w:rPr>
          <w:rFonts w:ascii="Times New Roman" w:hAnsi="Times New Roman" w:cs="Times New Roman"/>
          <w:b/>
          <w:u w:val="single"/>
        </w:rPr>
        <w:t>Mayıs ve Kasım aylarında olmak üzere yılda iki kez</w:t>
      </w:r>
      <w:r w:rsidRPr="00D52AD4">
        <w:rPr>
          <w:rFonts w:ascii="Times New Roman" w:hAnsi="Times New Roman" w:cs="Times New Roman"/>
        </w:rPr>
        <w:t xml:space="preserve"> yapılır.</w:t>
      </w:r>
    </w:p>
    <w:p w:rsidR="000769DA" w:rsidRPr="00D52AD4" w:rsidRDefault="000769DA" w:rsidP="00A1613D">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Sınava girecek olan adayların isimleri</w:t>
      </w:r>
      <w:r w:rsidR="006B014B">
        <w:rPr>
          <w:rFonts w:ascii="Times New Roman" w:hAnsi="Times New Roman" w:cs="Times New Roman"/>
        </w:rPr>
        <w:t>,</w:t>
      </w:r>
      <w:r w:rsidRPr="00D52AD4">
        <w:rPr>
          <w:rFonts w:ascii="Times New Roman" w:hAnsi="Times New Roman" w:cs="Times New Roman"/>
        </w:rPr>
        <w:t xml:space="preserve"> </w:t>
      </w:r>
      <w:r w:rsidR="006B014B">
        <w:rPr>
          <w:rFonts w:ascii="Times New Roman" w:hAnsi="Times New Roman" w:cs="Times New Roman"/>
        </w:rPr>
        <w:t xml:space="preserve">sınav jürisi ve sınav tarihi bilgileri </w:t>
      </w:r>
      <w:r w:rsidRPr="00D52AD4">
        <w:rPr>
          <w:rFonts w:ascii="Times New Roman" w:hAnsi="Times New Roman" w:cs="Times New Roman"/>
        </w:rPr>
        <w:t>anabilim dalı aracılığı ile Enstitüye bildirilir.</w:t>
      </w:r>
    </w:p>
    <w:p w:rsidR="000769DA" w:rsidRPr="00D52AD4" w:rsidRDefault="000769DA" w:rsidP="00A1613D">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Yazılı sınavda başarılı olan öğrenci sözlü sınava alınır.</w:t>
      </w:r>
    </w:p>
    <w:p w:rsidR="000769DA" w:rsidRPr="00D52AD4" w:rsidRDefault="000769DA" w:rsidP="00A1613D">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Öğrenci ilk sınav hakkını derslerini ve seminerini başarı ile tamamladığı yarıyılı takip eden ilk yarıyılda kullanır.(</w:t>
      </w:r>
      <w:r w:rsidRPr="00F66CA5">
        <w:rPr>
          <w:rFonts w:ascii="Times New Roman" w:hAnsi="Times New Roman" w:cs="Times New Roman"/>
          <w:b/>
          <w:u w:val="single"/>
        </w:rPr>
        <w:t>En geç beşinci yarıyılın sonuna kadar sınava girmek zorundadır</w:t>
      </w:r>
      <w:r w:rsidRPr="00D52AD4">
        <w:rPr>
          <w:rFonts w:ascii="Times New Roman" w:hAnsi="Times New Roman" w:cs="Times New Roman"/>
        </w:rPr>
        <w:t>.)</w:t>
      </w:r>
    </w:p>
    <w:p w:rsidR="000769DA" w:rsidRPr="00D52AD4" w:rsidRDefault="000769DA" w:rsidP="00465333">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Sınav jürisi en az ikisi Üniversite dışından olmak üzere beş öğretim üyesinden oluşur.(Tez danışmanının jüride olması durumunda altı öğretim üyesi olmalıdır.)</w:t>
      </w:r>
    </w:p>
    <w:p w:rsidR="00C3735B" w:rsidRPr="00D52AD4" w:rsidRDefault="00C3735B" w:rsidP="00465333">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Sınavda başarısız olan öğrenci başarısız olan bölümlerden sonraki yarıyılda tekrar sınava alınır.</w:t>
      </w:r>
      <w:r w:rsidR="009C58E2" w:rsidRPr="00D52AD4">
        <w:rPr>
          <w:rFonts w:ascii="Times New Roman" w:hAnsi="Times New Roman" w:cs="Times New Roman"/>
        </w:rPr>
        <w:t xml:space="preserve"> </w:t>
      </w:r>
      <w:r w:rsidRPr="00D52AD4">
        <w:rPr>
          <w:rFonts w:ascii="Times New Roman" w:hAnsi="Times New Roman" w:cs="Times New Roman"/>
        </w:rPr>
        <w:t>Bu sınavda da başarısız olursa Üniversite ile ilişiği kesilir.</w:t>
      </w:r>
    </w:p>
    <w:p w:rsidR="009C58E2" w:rsidRPr="00D52AD4" w:rsidRDefault="009C58E2" w:rsidP="00465333">
      <w:pPr>
        <w:pStyle w:val="ListeParagraf"/>
        <w:numPr>
          <w:ilvl w:val="0"/>
          <w:numId w:val="4"/>
        </w:numPr>
        <w:tabs>
          <w:tab w:val="left" w:pos="993"/>
        </w:tabs>
        <w:spacing w:before="60" w:after="60"/>
        <w:jc w:val="both"/>
        <w:rPr>
          <w:rFonts w:ascii="Times New Roman" w:hAnsi="Times New Roman" w:cs="Times New Roman"/>
        </w:rPr>
      </w:pPr>
      <w:r w:rsidRPr="00D52AD4">
        <w:rPr>
          <w:rFonts w:ascii="Times New Roman" w:hAnsi="Times New Roman" w:cs="Times New Roman"/>
        </w:rPr>
        <w:t>Sınava girmeyen öğrenci sınav hakkını kullanmış ve başarısız olmuş kabul edilir.</w:t>
      </w:r>
    </w:p>
    <w:p w:rsidR="000769DA" w:rsidRPr="00D52AD4" w:rsidRDefault="000769DA" w:rsidP="000769DA">
      <w:pPr>
        <w:tabs>
          <w:tab w:val="left" w:pos="993"/>
        </w:tabs>
        <w:spacing w:before="60" w:after="60"/>
        <w:ind w:left="360"/>
        <w:jc w:val="both"/>
        <w:rPr>
          <w:rFonts w:ascii="Times New Roman" w:hAnsi="Times New Roman" w:cs="Times New Roman"/>
        </w:rPr>
      </w:pPr>
    </w:p>
    <w:p w:rsidR="009C58E2" w:rsidRPr="00D52AD4" w:rsidRDefault="008A1B5A" w:rsidP="009C58E2">
      <w:pPr>
        <w:tabs>
          <w:tab w:val="left" w:pos="993"/>
        </w:tabs>
        <w:spacing w:before="60" w:after="60"/>
        <w:jc w:val="both"/>
        <w:rPr>
          <w:rFonts w:ascii="Times New Roman" w:hAnsi="Times New Roman" w:cs="Times New Roman"/>
        </w:rPr>
      </w:pPr>
      <w:r w:rsidRPr="00D52AD4">
        <w:rPr>
          <w:rFonts w:ascii="Times New Roman" w:hAnsi="Times New Roman" w:cs="Times New Roman"/>
          <w:b/>
        </w:rPr>
        <w:t xml:space="preserve">İlgili Maddeler: </w:t>
      </w:r>
      <w:r w:rsidRPr="00D52AD4">
        <w:rPr>
          <w:rFonts w:ascii="Times New Roman" w:hAnsi="Times New Roman" w:cs="Times New Roman"/>
        </w:rPr>
        <w:tab/>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tab/>
      </w:r>
      <w:r w:rsidRPr="00D52AD4">
        <w:rPr>
          <w:rFonts w:ascii="Times New Roman" w:hAnsi="Times New Roman" w:cs="Times New Roman"/>
          <w:b/>
        </w:rPr>
        <w:t>MADDE 38–</w:t>
      </w:r>
      <w:r w:rsidRPr="00D52AD4">
        <w:rPr>
          <w:rFonts w:ascii="Times New Roman" w:hAnsi="Times New Roman" w:cs="Times New Roman"/>
        </w:rPr>
        <w:t xml:space="preserve"> (1) Yeterlik sınavının amacı, derslerini ve seminerini tamamlayan öğrencinin alanındaki temel konular ve kavramlar ile doktora çalışmasıyla ilgili bilimsel araştırma derinliğine sahip olup olmadığının ölçülmesidir. Bir öğrenci, bir yılda en fazla iki kez yeterlik sınavına girer. </w:t>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tab/>
        <w:t xml:space="preserve">(2) Doktora yeterlik sınavı, Mayıs ve Kasım aylarında olmak üzere yılda iki kez yapılır. Doktora yeterlik sınavına girmek için başvuran öğrencilerin adları sınavdan önce EABDB tarafından ilgili enstitüye bildirilir. </w:t>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lastRenderedPageBreak/>
        <w:tab/>
        <w:t xml:space="preserve">(3) Doktora programı öğrencilerinin, ilk sınav haklarını doktora programı derslerini ve seminerini başarı ile tamamladıkları yarıyılı takip eden ilk yarıyılda kullanmaları gerekir. Ancak yüksek lisans derecesi ile kabul edilen öğrenci en geç beşinci yarıyılın, lisans derecesi ile kabul edilmiş olan öğrenci en geç yedinci yarıyılın sonuna kadar doktora yeterlik sınavına girmek zorundadır. </w:t>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tab/>
        <w:t xml:space="preserve">(4) Doktora yeterlik sınavları, EABDB tarafından önerilen ve ilgili enstitü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 dâhil beş öğretim üyesinden oluşur. Danışmanın oy hakkı olup olmadığı hususunda ilgili enstitü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tab/>
        <w:t xml:space="preserve">(5) Doktora yeterlik sınavı, yazılı ve sözlü olarak iki bölüm halinde yapılır. Yazılı sınavda başarılı olan öğrenci sözlü sınava alınır. Sınavların ağırlıkları ile notlarının hesaplanmasında ilgili mevzuat hükümlerine göre işlem yapılır. Sınav jürileri, öğrencinin yazılı ve sözlü sınavlardaki başarı durumunu değerlendirerek öğrencinin başarılı veya başarısız olduğuna salt çoğunlukla karar verir. Bu karar, </w:t>
      </w:r>
      <w:proofErr w:type="spellStart"/>
      <w:r w:rsidRPr="00D52AD4">
        <w:rPr>
          <w:rFonts w:ascii="Times New Roman" w:hAnsi="Times New Roman" w:cs="Times New Roman"/>
        </w:rPr>
        <w:t>EABDB’ce</w:t>
      </w:r>
      <w:proofErr w:type="spellEnd"/>
      <w:r w:rsidRPr="00D52AD4">
        <w:rPr>
          <w:rFonts w:ascii="Times New Roman" w:hAnsi="Times New Roman" w:cs="Times New Roman"/>
        </w:rPr>
        <w:t xml:space="preserve"> yeterlik sınavını izleyen üç gün içinde Enstitüye tutanakla bildirilir. </w:t>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tab/>
        <w:t xml:space="preserve">(6) Doktora yeterlik sınavında başarısız olan öğrenci, başarısız olduğu bölüm/bölümlerden bir sonraki yarıyılda tekrar sınava alınır. Bu sınavda da başarısız olan öğrencinin doktora programı ile ilişiği kesilir. EABDB *Sınavı izleyen 3 iş günü içerisinde tutanağı onaylayarak EBYS ile </w:t>
      </w:r>
      <w:proofErr w:type="spellStart"/>
      <w:r w:rsidRPr="00D52AD4">
        <w:rPr>
          <w:rFonts w:ascii="Times New Roman" w:hAnsi="Times New Roman" w:cs="Times New Roman"/>
        </w:rPr>
        <w:t>Enstitü’ye</w:t>
      </w:r>
      <w:proofErr w:type="spellEnd"/>
      <w:r w:rsidRPr="00D52AD4">
        <w:rPr>
          <w:rFonts w:ascii="Times New Roman" w:hAnsi="Times New Roman" w:cs="Times New Roman"/>
        </w:rPr>
        <w:t xml:space="preserve"> gönderir. Enstitü *Formu onaylar. Öğrenciye ders verilmiş ise Enstitü Yönetim Kurulu kararı alınır. Form ve varsa EYK kararı </w:t>
      </w:r>
      <w:proofErr w:type="spellStart"/>
      <w:r w:rsidRPr="00D52AD4">
        <w:rPr>
          <w:rFonts w:ascii="Times New Roman" w:hAnsi="Times New Roman" w:cs="Times New Roman"/>
        </w:rPr>
        <w:t>ÖİDB’na</w:t>
      </w:r>
      <w:proofErr w:type="spellEnd"/>
      <w:r w:rsidRPr="00D52AD4">
        <w:rPr>
          <w:rFonts w:ascii="Times New Roman" w:hAnsi="Times New Roman" w:cs="Times New Roman"/>
        </w:rPr>
        <w:t xml:space="preserve"> gönderilir. </w:t>
      </w:r>
    </w:p>
    <w:p w:rsidR="009C58E2" w:rsidRPr="00D52AD4" w:rsidRDefault="009C58E2" w:rsidP="00473C60">
      <w:pPr>
        <w:tabs>
          <w:tab w:val="left" w:pos="993"/>
        </w:tabs>
        <w:spacing w:before="60" w:after="60"/>
        <w:jc w:val="both"/>
        <w:rPr>
          <w:rFonts w:ascii="Times New Roman" w:hAnsi="Times New Roman" w:cs="Times New Roman"/>
        </w:rPr>
      </w:pPr>
      <w:r w:rsidRPr="00D52AD4">
        <w:rPr>
          <w:rFonts w:ascii="Times New Roman" w:hAnsi="Times New Roman" w:cs="Times New Roman"/>
        </w:rPr>
        <w:tab/>
        <w:t xml:space="preserve">(7) Doktora yeterlik sınavının herhangi bir aşamasında sınava girmeyen öğrenciler bu hakkını kullanmış ve başarısız olmuş sayılır. </w:t>
      </w:r>
    </w:p>
    <w:p w:rsidR="00A53B23" w:rsidRPr="00D52AD4" w:rsidRDefault="009C58E2" w:rsidP="00473C60">
      <w:pPr>
        <w:tabs>
          <w:tab w:val="left" w:pos="993"/>
        </w:tabs>
        <w:spacing w:before="60" w:after="60"/>
        <w:jc w:val="both"/>
        <w:rPr>
          <w:rFonts w:ascii="Times New Roman" w:hAnsi="Times New Roman" w:cs="Times New Roman"/>
          <w:b/>
        </w:rPr>
      </w:pPr>
      <w:r w:rsidRPr="00D52AD4">
        <w:rPr>
          <w:rFonts w:ascii="Times New Roman" w:hAnsi="Times New Roman" w:cs="Times New Roman"/>
        </w:rPr>
        <w:tab/>
        <w:t>(8) Yeterlik sınavı jürisi, yeterlik sınavını başaran bir öğrencinin, ders yükünü tamamlamış olsa bile, toplam kredi miktarının üçte birini geçmemek şartıyla fazladan ders/dersler almasını isteyebilir. Öğrenci, ilgili enstitü yönetim kurulu kararıyla belirlenecek dersleri başarmak zorundadır.</w:t>
      </w:r>
    </w:p>
    <w:p w:rsidR="002A1AE4" w:rsidRPr="00D52AD4" w:rsidRDefault="002A1AE4" w:rsidP="00FB7E1C">
      <w:pPr>
        <w:tabs>
          <w:tab w:val="left" w:pos="993"/>
        </w:tabs>
        <w:spacing w:before="60" w:after="60"/>
        <w:jc w:val="both"/>
        <w:rPr>
          <w:rFonts w:ascii="Times New Roman" w:hAnsi="Times New Roman" w:cs="Times New Roman"/>
          <w:b/>
        </w:rPr>
      </w:pPr>
    </w:p>
    <w:sectPr w:rsidR="002A1AE4" w:rsidRPr="00D52AD4" w:rsidSect="009C58E2">
      <w:pgSz w:w="11906" w:h="16838"/>
      <w:pgMar w:top="1135"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C05ED"/>
    <w:multiLevelType w:val="hybridMultilevel"/>
    <w:tmpl w:val="E876B2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341CB"/>
    <w:rsid w:val="000769DA"/>
    <w:rsid w:val="00096301"/>
    <w:rsid w:val="000A21C2"/>
    <w:rsid w:val="000D1045"/>
    <w:rsid w:val="000D1250"/>
    <w:rsid w:val="00115553"/>
    <w:rsid w:val="0013381D"/>
    <w:rsid w:val="0016755E"/>
    <w:rsid w:val="001739F2"/>
    <w:rsid w:val="00176002"/>
    <w:rsid w:val="00184613"/>
    <w:rsid w:val="00206C09"/>
    <w:rsid w:val="00231EAB"/>
    <w:rsid w:val="00244F79"/>
    <w:rsid w:val="002A1AE4"/>
    <w:rsid w:val="002B6971"/>
    <w:rsid w:val="003412E5"/>
    <w:rsid w:val="00362CB9"/>
    <w:rsid w:val="00373E73"/>
    <w:rsid w:val="003C2E50"/>
    <w:rsid w:val="003F1CC9"/>
    <w:rsid w:val="003F7426"/>
    <w:rsid w:val="00405A5B"/>
    <w:rsid w:val="00441A3C"/>
    <w:rsid w:val="00470864"/>
    <w:rsid w:val="00473C60"/>
    <w:rsid w:val="00503D08"/>
    <w:rsid w:val="005418F3"/>
    <w:rsid w:val="005872F2"/>
    <w:rsid w:val="00587546"/>
    <w:rsid w:val="005D1DF1"/>
    <w:rsid w:val="00600224"/>
    <w:rsid w:val="00620DD4"/>
    <w:rsid w:val="00627726"/>
    <w:rsid w:val="00654FF1"/>
    <w:rsid w:val="00667C9F"/>
    <w:rsid w:val="00674109"/>
    <w:rsid w:val="006B014B"/>
    <w:rsid w:val="006D2584"/>
    <w:rsid w:val="006E66B2"/>
    <w:rsid w:val="006F367D"/>
    <w:rsid w:val="00704960"/>
    <w:rsid w:val="007B1996"/>
    <w:rsid w:val="007D03B9"/>
    <w:rsid w:val="007D0CAF"/>
    <w:rsid w:val="007F7B17"/>
    <w:rsid w:val="0082337B"/>
    <w:rsid w:val="00835058"/>
    <w:rsid w:val="00860A3D"/>
    <w:rsid w:val="00863F9D"/>
    <w:rsid w:val="00877F10"/>
    <w:rsid w:val="00892262"/>
    <w:rsid w:val="008A1B5A"/>
    <w:rsid w:val="008A4B24"/>
    <w:rsid w:val="008F273E"/>
    <w:rsid w:val="00915DF0"/>
    <w:rsid w:val="009631B0"/>
    <w:rsid w:val="009B137D"/>
    <w:rsid w:val="009B4616"/>
    <w:rsid w:val="009C58E2"/>
    <w:rsid w:val="009E24BD"/>
    <w:rsid w:val="00A1167F"/>
    <w:rsid w:val="00A1613D"/>
    <w:rsid w:val="00A30666"/>
    <w:rsid w:val="00A4100A"/>
    <w:rsid w:val="00A53B23"/>
    <w:rsid w:val="00A542E1"/>
    <w:rsid w:val="00A60882"/>
    <w:rsid w:val="00AA3510"/>
    <w:rsid w:val="00AB720F"/>
    <w:rsid w:val="00AE1AFC"/>
    <w:rsid w:val="00B2057F"/>
    <w:rsid w:val="00B72D98"/>
    <w:rsid w:val="00BB264C"/>
    <w:rsid w:val="00BB3B91"/>
    <w:rsid w:val="00BD7DC5"/>
    <w:rsid w:val="00BE266A"/>
    <w:rsid w:val="00BF0BBC"/>
    <w:rsid w:val="00BF6191"/>
    <w:rsid w:val="00C31F92"/>
    <w:rsid w:val="00C3735B"/>
    <w:rsid w:val="00C510E1"/>
    <w:rsid w:val="00C546F9"/>
    <w:rsid w:val="00C826E6"/>
    <w:rsid w:val="00C91B9E"/>
    <w:rsid w:val="00CE3209"/>
    <w:rsid w:val="00CF327A"/>
    <w:rsid w:val="00CF7819"/>
    <w:rsid w:val="00D075AC"/>
    <w:rsid w:val="00D52AD4"/>
    <w:rsid w:val="00D548FB"/>
    <w:rsid w:val="00D66B9E"/>
    <w:rsid w:val="00D677D0"/>
    <w:rsid w:val="00D7466E"/>
    <w:rsid w:val="00D92A2F"/>
    <w:rsid w:val="00DC578C"/>
    <w:rsid w:val="00E22D40"/>
    <w:rsid w:val="00EB037A"/>
    <w:rsid w:val="00ED78AA"/>
    <w:rsid w:val="00F02D0C"/>
    <w:rsid w:val="00F2516B"/>
    <w:rsid w:val="00F358B7"/>
    <w:rsid w:val="00F513E4"/>
    <w:rsid w:val="00F66CA5"/>
    <w:rsid w:val="00F846C5"/>
    <w:rsid w:val="00FB7E1C"/>
    <w:rsid w:val="00FC10C8"/>
    <w:rsid w:val="00FC28CB"/>
    <w:rsid w:val="00FE581E"/>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739F2"/>
    <w:pPr>
      <w:keepNext/>
      <w:spacing w:after="0" w:line="240" w:lineRule="auto"/>
      <w:outlineLvl w:val="0"/>
    </w:pPr>
    <w:rPr>
      <w:rFonts w:ascii="Arial" w:eastAsia="Times New Roman" w:hAnsi="Arial" w:cs="Times New Roman"/>
      <w:sz w:val="32"/>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 w:type="character" w:customStyle="1" w:styleId="Balk1Char">
    <w:name w:val="Başlık 1 Char"/>
    <w:basedOn w:val="VarsaylanParagrafYazTipi"/>
    <w:link w:val="Balk1"/>
    <w:uiPriority w:val="9"/>
    <w:rsid w:val="001739F2"/>
    <w:rPr>
      <w:rFonts w:ascii="Arial" w:eastAsia="Times New Roman" w:hAnsi="Arial" w:cs="Times New Roman"/>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2021-10-13T07:19:00Z</cp:lastPrinted>
  <dcterms:created xsi:type="dcterms:W3CDTF">2024-10-10T12:14:00Z</dcterms:created>
  <dcterms:modified xsi:type="dcterms:W3CDTF">2024-10-10T12:14:00Z</dcterms:modified>
</cp:coreProperties>
</file>